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9A179" w14:textId="77777777" w:rsidR="00382979" w:rsidRDefault="00382979" w:rsidP="00EF055A">
      <w:pPr>
        <w:pBdr>
          <w:bottom w:val="single" w:sz="12" w:space="1" w:color="auto"/>
        </w:pBdr>
        <w:spacing w:after="0"/>
        <w:jc w:val="both"/>
        <w:rPr>
          <w:rFonts w:cs="Arial"/>
          <w:b/>
          <w:sz w:val="28"/>
          <w:szCs w:val="28"/>
        </w:rPr>
      </w:pPr>
    </w:p>
    <w:p w14:paraId="2DF9ABB1" w14:textId="1AEF9952" w:rsidR="00EF055A" w:rsidRPr="00EC0E18" w:rsidRDefault="00EF055A" w:rsidP="00EF055A">
      <w:pPr>
        <w:pBdr>
          <w:bottom w:val="single" w:sz="12" w:space="1" w:color="auto"/>
        </w:pBdr>
        <w:spacing w:after="0"/>
        <w:jc w:val="both"/>
        <w:rPr>
          <w:rFonts w:cs="Arial"/>
          <w:b/>
          <w:sz w:val="28"/>
          <w:szCs w:val="28"/>
        </w:rPr>
      </w:pPr>
      <w:bookmarkStart w:id="0" w:name="_GoBack"/>
      <w:bookmarkEnd w:id="0"/>
      <w:r w:rsidRPr="00EC0E18">
        <w:rPr>
          <w:rFonts w:cs="Arial"/>
          <w:b/>
          <w:sz w:val="28"/>
          <w:szCs w:val="28"/>
        </w:rPr>
        <w:t xml:space="preserve">The County Council's Revenue Budget and Council Tax for 2020/21 and Capital Delivery Programme for 2020/21 </w:t>
      </w:r>
    </w:p>
    <w:p w14:paraId="5E3C5E8B" w14:textId="77777777" w:rsidR="00EF055A" w:rsidRPr="00EC0E18" w:rsidRDefault="00EF055A" w:rsidP="00EF055A">
      <w:pPr>
        <w:spacing w:after="0"/>
        <w:jc w:val="both"/>
        <w:rPr>
          <w:rFonts w:cs="Arial"/>
          <w:b/>
          <w:szCs w:val="24"/>
        </w:rPr>
      </w:pPr>
    </w:p>
    <w:p w14:paraId="4D03F202" w14:textId="77777777" w:rsidR="00EF055A" w:rsidRPr="00EC0E18" w:rsidRDefault="00EF055A" w:rsidP="00EF055A">
      <w:pPr>
        <w:spacing w:after="0"/>
        <w:jc w:val="both"/>
        <w:rPr>
          <w:rFonts w:cs="Arial"/>
          <w:b/>
          <w:szCs w:val="24"/>
        </w:rPr>
      </w:pPr>
      <w:r w:rsidRPr="00EC0E18">
        <w:rPr>
          <w:rFonts w:cs="Arial"/>
          <w:b/>
          <w:szCs w:val="24"/>
        </w:rPr>
        <w:t>1. Introduction</w:t>
      </w:r>
    </w:p>
    <w:p w14:paraId="2B6805B4" w14:textId="77777777" w:rsidR="00EF055A" w:rsidRPr="00EC0E18" w:rsidRDefault="00EF055A" w:rsidP="00EF055A">
      <w:pPr>
        <w:spacing w:after="0"/>
        <w:jc w:val="both"/>
        <w:rPr>
          <w:rFonts w:cs="Arial"/>
          <w:b/>
          <w:szCs w:val="24"/>
        </w:rPr>
      </w:pPr>
    </w:p>
    <w:p w14:paraId="50AF8F19" w14:textId="77777777" w:rsidR="00EF055A" w:rsidRPr="002A3B25" w:rsidRDefault="00EF055A" w:rsidP="00EF055A">
      <w:pPr>
        <w:autoSpaceDE w:val="0"/>
        <w:autoSpaceDN w:val="0"/>
        <w:adjustRightInd w:val="0"/>
        <w:spacing w:after="0"/>
        <w:jc w:val="both"/>
        <w:rPr>
          <w:rFonts w:cs="Arial"/>
          <w:szCs w:val="24"/>
        </w:rPr>
      </w:pPr>
      <w:r w:rsidRPr="002A3B25">
        <w:rPr>
          <w:rFonts w:cs="Arial"/>
          <w:szCs w:val="24"/>
        </w:rPr>
        <w:t>The council has faced an unprecedented period of financial challenge since austerity began in 2010. Like all councils, we are facing financial pressures across the period of ou</w:t>
      </w:r>
      <w:r>
        <w:rPr>
          <w:rFonts w:cs="Arial"/>
          <w:szCs w:val="24"/>
        </w:rPr>
        <w:t>r</w:t>
      </w:r>
      <w:r w:rsidRPr="002A3B25">
        <w:rPr>
          <w:rFonts w:cs="Arial"/>
          <w:szCs w:val="24"/>
        </w:rPr>
        <w:t xml:space="preserve"> medium term financial strategy. Whilst good progress has been made to date in addressing the forecast financial shortfall over the strategy period as a result of significant savings programmes and the improved funding envelope for social care, further work is required to ensure the council can achieve a financially sustainable position</w:t>
      </w:r>
      <w:r>
        <w:rPr>
          <w:rFonts w:cs="Arial"/>
          <w:szCs w:val="24"/>
        </w:rPr>
        <w:t xml:space="preserve"> over the medium term</w:t>
      </w:r>
      <w:r w:rsidRPr="002A3B25">
        <w:rPr>
          <w:rFonts w:cs="Arial"/>
          <w:szCs w:val="24"/>
        </w:rPr>
        <w:t>.</w:t>
      </w:r>
    </w:p>
    <w:p w14:paraId="7A11A192" w14:textId="77777777" w:rsidR="00EF055A" w:rsidRPr="002A3B25" w:rsidRDefault="00EF055A" w:rsidP="00EF055A">
      <w:pPr>
        <w:autoSpaceDE w:val="0"/>
        <w:autoSpaceDN w:val="0"/>
        <w:adjustRightInd w:val="0"/>
        <w:spacing w:after="0"/>
        <w:jc w:val="both"/>
        <w:rPr>
          <w:rFonts w:cs="Arial"/>
          <w:szCs w:val="24"/>
        </w:rPr>
      </w:pPr>
    </w:p>
    <w:p w14:paraId="11706909" w14:textId="3CAAFC0C" w:rsidR="00EF055A" w:rsidRPr="002A3B25" w:rsidRDefault="00EF055A" w:rsidP="00EF055A">
      <w:pPr>
        <w:autoSpaceDE w:val="0"/>
        <w:autoSpaceDN w:val="0"/>
        <w:adjustRightInd w:val="0"/>
        <w:spacing w:after="0"/>
        <w:jc w:val="both"/>
        <w:rPr>
          <w:rFonts w:cs="Arial"/>
          <w:szCs w:val="24"/>
        </w:rPr>
      </w:pPr>
      <w:r w:rsidRPr="002A3B25">
        <w:rPr>
          <w:rFonts w:cs="Arial"/>
          <w:szCs w:val="24"/>
        </w:rPr>
        <w:t xml:space="preserve">In reports throughout the financial year to cabinet, it is clear that the council is committed to the delivery of a significant savings programme (c£58m over the period 2020/21 to 2022/23) </w:t>
      </w:r>
      <w:r>
        <w:rPr>
          <w:rFonts w:cs="Arial"/>
          <w:szCs w:val="24"/>
        </w:rPr>
        <w:t xml:space="preserve">primarily agreed in the 2019/20 budget cycle following the </w:t>
      </w:r>
      <w:r w:rsidRPr="002A3B25">
        <w:rPr>
          <w:rFonts w:cs="Arial"/>
          <w:szCs w:val="24"/>
        </w:rPr>
        <w:t xml:space="preserve">initial service challenge process.  </w:t>
      </w:r>
    </w:p>
    <w:p w14:paraId="207A2FA6" w14:textId="77777777" w:rsidR="00EF055A" w:rsidRPr="002A3B25" w:rsidRDefault="00EF055A" w:rsidP="00EF055A">
      <w:pPr>
        <w:autoSpaceDE w:val="0"/>
        <w:autoSpaceDN w:val="0"/>
        <w:adjustRightInd w:val="0"/>
        <w:spacing w:after="0"/>
        <w:jc w:val="both"/>
        <w:rPr>
          <w:rFonts w:cs="Arial"/>
          <w:szCs w:val="24"/>
        </w:rPr>
      </w:pPr>
    </w:p>
    <w:p w14:paraId="0A82C1AF" w14:textId="17847A71" w:rsidR="00EF055A" w:rsidRPr="002A3B25" w:rsidRDefault="00EF055A" w:rsidP="00EF055A">
      <w:pPr>
        <w:autoSpaceDE w:val="0"/>
        <w:autoSpaceDN w:val="0"/>
        <w:adjustRightInd w:val="0"/>
        <w:spacing w:after="0"/>
        <w:jc w:val="both"/>
        <w:rPr>
          <w:rFonts w:cs="Arial"/>
          <w:szCs w:val="24"/>
        </w:rPr>
      </w:pPr>
      <w:r w:rsidRPr="002A3B25">
        <w:rPr>
          <w:rFonts w:cs="Arial"/>
          <w:szCs w:val="24"/>
        </w:rPr>
        <w:t xml:space="preserve">We are now investigating the scope for further savings. The initial service challenge process necessarily focused on individual service reviews supported by benchmarking data which identified a number of areas where the council was high cost compared to a number of other county councils.   The aim was to deliver the same or better outcomes at reduced cost wherever possible and phase 1 of the service challenge process identified </w:t>
      </w:r>
      <w:r>
        <w:rPr>
          <w:rFonts w:cs="Arial"/>
          <w:szCs w:val="24"/>
        </w:rPr>
        <w:t xml:space="preserve">a range </w:t>
      </w:r>
      <w:r w:rsidRPr="002A3B25">
        <w:rPr>
          <w:rFonts w:cs="Arial"/>
          <w:szCs w:val="24"/>
        </w:rPr>
        <w:t xml:space="preserve">of savings proposals which were included both within the 2019/20 budget and the MTFS position.  </w:t>
      </w:r>
    </w:p>
    <w:p w14:paraId="554D09E6" w14:textId="77777777" w:rsidR="00EF055A" w:rsidRPr="002A3B25" w:rsidRDefault="00EF055A" w:rsidP="00EF055A">
      <w:pPr>
        <w:autoSpaceDE w:val="0"/>
        <w:autoSpaceDN w:val="0"/>
        <w:adjustRightInd w:val="0"/>
        <w:spacing w:after="0"/>
        <w:jc w:val="both"/>
        <w:rPr>
          <w:rFonts w:cs="Arial"/>
          <w:szCs w:val="24"/>
        </w:rPr>
      </w:pPr>
      <w:r w:rsidRPr="002A3B25">
        <w:rPr>
          <w:rFonts w:cs="Arial"/>
          <w:szCs w:val="24"/>
        </w:rPr>
        <w:t xml:space="preserve"> </w:t>
      </w:r>
    </w:p>
    <w:p w14:paraId="0781A6A8" w14:textId="77777777" w:rsidR="00EF055A" w:rsidRPr="002A3B25" w:rsidRDefault="00EF055A" w:rsidP="00EF055A">
      <w:pPr>
        <w:autoSpaceDE w:val="0"/>
        <w:autoSpaceDN w:val="0"/>
        <w:adjustRightInd w:val="0"/>
        <w:spacing w:after="0"/>
        <w:jc w:val="both"/>
        <w:rPr>
          <w:rFonts w:cs="Arial"/>
          <w:szCs w:val="24"/>
        </w:rPr>
      </w:pPr>
      <w:r w:rsidRPr="002A3B25">
        <w:rPr>
          <w:rFonts w:cs="Arial"/>
          <w:szCs w:val="24"/>
        </w:rPr>
        <w:t xml:space="preserve">Phase 1 also identified a number of cross-cutting work streams and areas for investigation and review which is being taken forward as part of the service challenge phase 2 process.  These work streams are more complex, requiring a fundamental challenge of, in many cases, longstanding organisational wide approaches, systems and processes to enable both service improvements and cost savings to be identified. Work is progressing on phase 2 with demand management, commissioning, organisational development, property management, commercialisation, schools traded services, transport and digital being key areas of focus. Projects on these areas and the savings options will be shared with cabinet for consideration as and when available and when timescales for their delivery are agreed. Relevant projects will be a focus for relevant finance monitoring boards as appropriate. </w:t>
      </w:r>
    </w:p>
    <w:p w14:paraId="13E3364D" w14:textId="77777777" w:rsidR="00EF055A" w:rsidRPr="002A3B25" w:rsidRDefault="00EF055A" w:rsidP="00EF055A">
      <w:pPr>
        <w:autoSpaceDE w:val="0"/>
        <w:autoSpaceDN w:val="0"/>
        <w:adjustRightInd w:val="0"/>
        <w:spacing w:after="0"/>
        <w:jc w:val="both"/>
        <w:rPr>
          <w:rFonts w:cs="Arial"/>
          <w:szCs w:val="24"/>
        </w:rPr>
      </w:pPr>
    </w:p>
    <w:p w14:paraId="0EA6F574" w14:textId="77777777" w:rsidR="00EF055A" w:rsidRPr="002A3B25" w:rsidRDefault="00EF055A" w:rsidP="00EF055A">
      <w:pPr>
        <w:autoSpaceDE w:val="0"/>
        <w:autoSpaceDN w:val="0"/>
        <w:adjustRightInd w:val="0"/>
        <w:spacing w:after="0"/>
        <w:jc w:val="both"/>
        <w:rPr>
          <w:rFonts w:cs="Arial"/>
          <w:szCs w:val="24"/>
        </w:rPr>
      </w:pPr>
      <w:r w:rsidRPr="002A3B25">
        <w:rPr>
          <w:rFonts w:cs="Arial"/>
          <w:szCs w:val="24"/>
        </w:rPr>
        <w:t xml:space="preserve">There are inherent risks with saving plans of this scale and scope and any significant under-delivery of agreed savings will further increase the funding gap.  This has been identified as one of the highest level risks in the council's risk and opportunity register </w:t>
      </w:r>
      <w:r w:rsidRPr="002A3B25">
        <w:rPr>
          <w:rFonts w:cs="Arial"/>
          <w:szCs w:val="24"/>
        </w:rPr>
        <w:lastRenderedPageBreak/>
        <w:t xml:space="preserve">and there are comprehensive arrangements in place to track delivery of financial savings and take corrective actions as required. </w:t>
      </w:r>
    </w:p>
    <w:p w14:paraId="36230F93" w14:textId="77777777" w:rsidR="00EF055A" w:rsidRPr="002A3B25" w:rsidRDefault="00EF055A" w:rsidP="00EF055A">
      <w:pPr>
        <w:autoSpaceDE w:val="0"/>
        <w:autoSpaceDN w:val="0"/>
        <w:adjustRightInd w:val="0"/>
        <w:spacing w:after="0"/>
        <w:jc w:val="both"/>
        <w:rPr>
          <w:rFonts w:cs="Arial"/>
          <w:szCs w:val="24"/>
        </w:rPr>
      </w:pPr>
    </w:p>
    <w:p w14:paraId="7A194939" w14:textId="77777777" w:rsidR="00EF055A" w:rsidRPr="002A3B25" w:rsidRDefault="00EF055A" w:rsidP="00EF055A">
      <w:pPr>
        <w:autoSpaceDE w:val="0"/>
        <w:autoSpaceDN w:val="0"/>
        <w:adjustRightInd w:val="0"/>
        <w:spacing w:after="0"/>
        <w:jc w:val="both"/>
        <w:rPr>
          <w:rFonts w:cs="Arial"/>
          <w:szCs w:val="24"/>
        </w:rPr>
      </w:pPr>
      <w:r w:rsidRPr="002A3B25">
        <w:rPr>
          <w:rFonts w:cs="Arial"/>
          <w:szCs w:val="24"/>
        </w:rPr>
        <w:t xml:space="preserve">Should any of our existing savings proposals ultimately not be achieved they will need to be replaced with alternative savings to avoid increasing the size of the funding gap.  </w:t>
      </w:r>
    </w:p>
    <w:p w14:paraId="371B1335" w14:textId="77777777" w:rsidR="00EF055A" w:rsidRPr="007A60AF" w:rsidRDefault="00EF055A" w:rsidP="00EF055A">
      <w:pPr>
        <w:autoSpaceDE w:val="0"/>
        <w:autoSpaceDN w:val="0"/>
        <w:adjustRightInd w:val="0"/>
        <w:spacing w:after="0"/>
        <w:jc w:val="both"/>
        <w:rPr>
          <w:rFonts w:cs="Arial"/>
          <w:szCs w:val="24"/>
          <w:highlight w:val="yellow"/>
          <w:lang w:eastAsia="en-GB"/>
        </w:rPr>
      </w:pPr>
    </w:p>
    <w:p w14:paraId="24BCA9B4" w14:textId="77777777" w:rsidR="00EF055A" w:rsidRDefault="00EF055A" w:rsidP="00EF055A">
      <w:pPr>
        <w:spacing w:after="0"/>
        <w:jc w:val="both"/>
        <w:rPr>
          <w:rFonts w:cs="Arial"/>
          <w:szCs w:val="24"/>
        </w:rPr>
      </w:pPr>
      <w:r w:rsidRPr="00FB39CE">
        <w:rPr>
          <w:rFonts w:cs="Arial"/>
          <w:szCs w:val="24"/>
        </w:rPr>
        <w:t xml:space="preserve">The medium term financial strategy (MTFS) includes government funding as announced in the provisional settlement on 20th December 2019, and </w:t>
      </w:r>
      <w:r>
        <w:rPr>
          <w:rFonts w:cs="Arial"/>
          <w:szCs w:val="24"/>
        </w:rPr>
        <w:t xml:space="preserve">we </w:t>
      </w:r>
      <w:r w:rsidRPr="00FB39CE">
        <w:rPr>
          <w:rFonts w:cs="Arial"/>
          <w:szCs w:val="24"/>
        </w:rPr>
        <w:t xml:space="preserve">await the </w:t>
      </w:r>
      <w:proofErr w:type="gramStart"/>
      <w:r w:rsidRPr="00FB39CE">
        <w:rPr>
          <w:rFonts w:cs="Arial"/>
          <w:szCs w:val="24"/>
        </w:rPr>
        <w:t>final</w:t>
      </w:r>
      <w:proofErr w:type="gramEnd"/>
      <w:r w:rsidRPr="00FB39CE">
        <w:rPr>
          <w:rFonts w:cs="Arial"/>
          <w:szCs w:val="24"/>
        </w:rPr>
        <w:t xml:space="preserve"> settlement which is expected in mid-February 2020. </w:t>
      </w:r>
    </w:p>
    <w:p w14:paraId="74C722DF" w14:textId="77777777" w:rsidR="00EF055A" w:rsidRDefault="00EF055A" w:rsidP="00EF055A">
      <w:pPr>
        <w:spacing w:after="0"/>
        <w:jc w:val="both"/>
        <w:rPr>
          <w:rFonts w:cs="Arial"/>
          <w:szCs w:val="24"/>
        </w:rPr>
      </w:pPr>
    </w:p>
    <w:p w14:paraId="1691C5F7" w14:textId="77777777" w:rsidR="00EF055A" w:rsidRPr="00FB39CE" w:rsidRDefault="00EF055A" w:rsidP="00EF055A">
      <w:pPr>
        <w:spacing w:after="0"/>
        <w:jc w:val="both"/>
        <w:rPr>
          <w:rFonts w:cs="Arial"/>
          <w:szCs w:val="24"/>
        </w:rPr>
      </w:pPr>
      <w:r w:rsidRPr="00FB39CE">
        <w:rPr>
          <w:rFonts w:cs="Arial"/>
          <w:szCs w:val="24"/>
        </w:rPr>
        <w:t xml:space="preserve">The announcement confirmed that there would be a one year settlement in 2020/21 and that the fair funding review would be delayed until April 2021. There are no funding levels confirmed post 2019/20. Assumptions have therefore been made based on the provisional finance settlement for funding levels from 2020/21 – 2023/24. </w:t>
      </w:r>
    </w:p>
    <w:p w14:paraId="71645F6E" w14:textId="77777777" w:rsidR="00EF055A" w:rsidRPr="00FB39CE" w:rsidRDefault="00EF055A" w:rsidP="00EF055A">
      <w:pPr>
        <w:spacing w:after="0"/>
        <w:jc w:val="both"/>
        <w:rPr>
          <w:rFonts w:cs="Arial"/>
          <w:szCs w:val="24"/>
        </w:rPr>
      </w:pPr>
    </w:p>
    <w:p w14:paraId="32AE02D6" w14:textId="77777777" w:rsidR="00EF055A" w:rsidRPr="00FB39CE" w:rsidRDefault="00EF055A" w:rsidP="00EF055A">
      <w:pPr>
        <w:spacing w:after="0"/>
        <w:jc w:val="both"/>
        <w:rPr>
          <w:rFonts w:cs="Arial"/>
          <w:szCs w:val="24"/>
        </w:rPr>
      </w:pPr>
      <w:r w:rsidRPr="00FB39CE">
        <w:rPr>
          <w:rFonts w:cs="Arial"/>
          <w:szCs w:val="24"/>
        </w:rPr>
        <w:t xml:space="preserve">During 2020, a multi-year spending review will take place which will allow more time for the impact of funding changes to be effectively planned for. </w:t>
      </w:r>
    </w:p>
    <w:p w14:paraId="58AF9997" w14:textId="77777777" w:rsidR="00EF055A" w:rsidRPr="00FB39CE" w:rsidRDefault="00EF055A" w:rsidP="00EF055A">
      <w:pPr>
        <w:spacing w:after="0"/>
        <w:jc w:val="both"/>
        <w:rPr>
          <w:rFonts w:cs="Arial"/>
          <w:szCs w:val="24"/>
        </w:rPr>
      </w:pPr>
    </w:p>
    <w:p w14:paraId="63A42B7E" w14:textId="77777777" w:rsidR="00EF055A" w:rsidRPr="00FB39CE" w:rsidRDefault="00EF055A" w:rsidP="00EF055A">
      <w:pPr>
        <w:spacing w:after="0"/>
        <w:jc w:val="both"/>
        <w:rPr>
          <w:rFonts w:cs="Arial"/>
          <w:szCs w:val="24"/>
        </w:rPr>
      </w:pPr>
      <w:r w:rsidRPr="00FB39CE">
        <w:rPr>
          <w:rFonts w:cs="Arial"/>
          <w:szCs w:val="24"/>
        </w:rPr>
        <w:t xml:space="preserve">The provisional settlement confirmed that 2020/21 would effectively be 'rolled over' from 2019/20, giving councils the stability they need to set a budget.    </w:t>
      </w:r>
    </w:p>
    <w:p w14:paraId="2C25615C" w14:textId="77777777" w:rsidR="00EF055A" w:rsidRPr="00FB39CE" w:rsidRDefault="00EF055A" w:rsidP="00EF055A">
      <w:pPr>
        <w:spacing w:after="0"/>
        <w:jc w:val="both"/>
        <w:rPr>
          <w:rFonts w:cs="Arial"/>
          <w:szCs w:val="24"/>
        </w:rPr>
      </w:pPr>
    </w:p>
    <w:p w14:paraId="3114BF12" w14:textId="77777777" w:rsidR="00EF055A" w:rsidRPr="00FB39CE" w:rsidRDefault="00EF055A" w:rsidP="00EF055A">
      <w:pPr>
        <w:spacing w:after="0"/>
        <w:jc w:val="both"/>
        <w:rPr>
          <w:rFonts w:cs="Arial"/>
          <w:szCs w:val="24"/>
        </w:rPr>
      </w:pPr>
      <w:r w:rsidRPr="00FB39CE">
        <w:rPr>
          <w:rFonts w:cs="Arial"/>
          <w:szCs w:val="24"/>
        </w:rPr>
        <w:t xml:space="preserve">In the provisional settlement, the Chancellor announced that councils will have access to new social care funding of £1.5bn in 2020/21.  This consists of grant funding and up to a 2% adult social care precept.  </w:t>
      </w:r>
    </w:p>
    <w:p w14:paraId="03F2D54F" w14:textId="77777777" w:rsidR="00EF055A" w:rsidRPr="00FB39CE" w:rsidRDefault="00EF055A" w:rsidP="00EF055A">
      <w:pPr>
        <w:spacing w:after="0"/>
        <w:jc w:val="both"/>
        <w:rPr>
          <w:rFonts w:cs="Arial"/>
          <w:szCs w:val="24"/>
        </w:rPr>
      </w:pPr>
    </w:p>
    <w:p w14:paraId="15EDDAEB" w14:textId="77777777" w:rsidR="00EF055A" w:rsidRPr="00FB39CE" w:rsidRDefault="00EF055A" w:rsidP="00EF055A">
      <w:pPr>
        <w:spacing w:after="0"/>
        <w:jc w:val="both"/>
        <w:rPr>
          <w:rFonts w:cs="Arial"/>
          <w:szCs w:val="24"/>
        </w:rPr>
      </w:pPr>
      <w:r w:rsidRPr="00FB39CE">
        <w:rPr>
          <w:rFonts w:cs="Arial"/>
          <w:szCs w:val="24"/>
        </w:rPr>
        <w:t>The provisional settlement also confirmed that revenue support grant would continue at 2019/20 inflated amounts, and that the social care funding allocated in 2019/20 would continue into 2020/21. It was also confirmed that the 2019/20 75% business rates pilots would not continue into 2020/21</w:t>
      </w:r>
    </w:p>
    <w:p w14:paraId="60F42B15" w14:textId="77777777" w:rsidR="00EF055A" w:rsidRPr="007A60AF" w:rsidRDefault="00EF055A" w:rsidP="00EF055A">
      <w:pPr>
        <w:autoSpaceDE w:val="0"/>
        <w:autoSpaceDN w:val="0"/>
        <w:adjustRightInd w:val="0"/>
        <w:spacing w:after="0"/>
        <w:jc w:val="both"/>
        <w:rPr>
          <w:rFonts w:cs="Arial"/>
          <w:szCs w:val="24"/>
          <w:highlight w:val="yellow"/>
          <w:lang w:eastAsia="en-GB"/>
        </w:rPr>
      </w:pPr>
    </w:p>
    <w:p w14:paraId="1225A9EF" w14:textId="77777777" w:rsidR="00EF055A" w:rsidRPr="00AC2F98" w:rsidRDefault="00EF055A" w:rsidP="00EF055A">
      <w:pPr>
        <w:spacing w:after="0"/>
        <w:jc w:val="both"/>
        <w:rPr>
          <w:rFonts w:cs="Arial"/>
        </w:rPr>
      </w:pPr>
      <w:r w:rsidRPr="00AC2F98">
        <w:rPr>
          <w:rFonts w:cs="Arial"/>
        </w:rPr>
        <w:t>The MTFS reported to cabinet in February 2020 included a 2% adult social care precept in 2020/21 as a result of flexibilities offered by Government.</w:t>
      </w:r>
      <w:r>
        <w:rPr>
          <w:rFonts w:cs="Arial"/>
        </w:rPr>
        <w:t xml:space="preserve">  </w:t>
      </w:r>
      <w:r w:rsidRPr="00AC2F98">
        <w:rPr>
          <w:rFonts w:cs="Arial"/>
        </w:rPr>
        <w:t xml:space="preserve">This flexibility is not currently being offered in subsequent years. </w:t>
      </w:r>
    </w:p>
    <w:p w14:paraId="49F4FF7A" w14:textId="77777777" w:rsidR="00EF055A" w:rsidRPr="00AC2F98" w:rsidRDefault="00EF055A" w:rsidP="00EF055A">
      <w:pPr>
        <w:spacing w:after="0"/>
        <w:jc w:val="both"/>
        <w:rPr>
          <w:rFonts w:cs="Arial"/>
        </w:rPr>
      </w:pPr>
    </w:p>
    <w:p w14:paraId="56F9DA5D" w14:textId="77777777" w:rsidR="00EF055A" w:rsidRPr="00AC2F98" w:rsidRDefault="00EF055A" w:rsidP="00EF055A">
      <w:pPr>
        <w:spacing w:after="0"/>
        <w:jc w:val="both"/>
        <w:rPr>
          <w:rFonts w:cs="Arial"/>
        </w:rPr>
      </w:pPr>
      <w:r w:rsidRPr="00AC2F98">
        <w:rPr>
          <w:rFonts w:cs="Arial"/>
        </w:rPr>
        <w:t>From 2021/22 onwards, it is therefore assumed that the maximum increase will revert back to 1.99%, as the option to raise an adult social care precept will no longer be available.  Council tax increases are subject to a full council decision each year when setting the budget, but any decisions taken not to increase council tax as per the assumptions above would increase the financial gap.</w:t>
      </w:r>
    </w:p>
    <w:p w14:paraId="4A3B02F8" w14:textId="77777777" w:rsidR="00EF055A" w:rsidRPr="007A60AF" w:rsidRDefault="00EF055A" w:rsidP="00EF055A">
      <w:pPr>
        <w:autoSpaceDE w:val="0"/>
        <w:autoSpaceDN w:val="0"/>
        <w:adjustRightInd w:val="0"/>
        <w:spacing w:after="0"/>
        <w:jc w:val="both"/>
        <w:rPr>
          <w:rFonts w:cs="Arial"/>
          <w:szCs w:val="24"/>
          <w:highlight w:val="yellow"/>
          <w:lang w:eastAsia="en-GB"/>
        </w:rPr>
      </w:pPr>
    </w:p>
    <w:p w14:paraId="54EDAE1F" w14:textId="77777777" w:rsidR="00EF055A" w:rsidRPr="00AC2F98" w:rsidRDefault="00EF055A" w:rsidP="00EF055A">
      <w:pPr>
        <w:autoSpaceDE w:val="0"/>
        <w:autoSpaceDN w:val="0"/>
        <w:adjustRightInd w:val="0"/>
        <w:spacing w:after="0"/>
        <w:jc w:val="both"/>
        <w:rPr>
          <w:rFonts w:cs="Arial"/>
          <w:szCs w:val="24"/>
          <w:lang w:eastAsia="en-GB"/>
        </w:rPr>
      </w:pPr>
      <w:r w:rsidRPr="00AC2F98">
        <w:rPr>
          <w:rFonts w:cs="Arial"/>
          <w:szCs w:val="24"/>
        </w:rPr>
        <w:t xml:space="preserve">Taking account of updated resources information a balanced budget position with no recourse to reserves is forecast for 2020/21. </w:t>
      </w:r>
      <w:r w:rsidRPr="00AC2F98">
        <w:rPr>
          <w:rFonts w:cs="Arial"/>
          <w:szCs w:val="24"/>
          <w:lang w:eastAsia="en-GB"/>
        </w:rPr>
        <w:t xml:space="preserve">However, this is clearly dependent on all service challenge savings agreed and delivered fully within the timeframes identified, along with the other savings agreed in previous budget cycles.  </w:t>
      </w:r>
    </w:p>
    <w:p w14:paraId="3D3DC6C9" w14:textId="77777777" w:rsidR="00EF055A" w:rsidRPr="007A60AF" w:rsidRDefault="00EF055A" w:rsidP="00EF055A">
      <w:pPr>
        <w:autoSpaceDE w:val="0"/>
        <w:autoSpaceDN w:val="0"/>
        <w:adjustRightInd w:val="0"/>
        <w:spacing w:after="0"/>
        <w:jc w:val="both"/>
        <w:rPr>
          <w:rFonts w:cs="Arial"/>
          <w:szCs w:val="24"/>
          <w:highlight w:val="yellow"/>
          <w:lang w:eastAsia="en-GB"/>
        </w:rPr>
      </w:pPr>
    </w:p>
    <w:p w14:paraId="05FFD99A" w14:textId="77777777" w:rsidR="00EF055A" w:rsidRPr="00AC2F98" w:rsidRDefault="00EF055A" w:rsidP="00EF055A">
      <w:pPr>
        <w:autoSpaceDE w:val="0"/>
        <w:autoSpaceDN w:val="0"/>
        <w:adjustRightInd w:val="0"/>
        <w:spacing w:after="0"/>
        <w:jc w:val="both"/>
        <w:rPr>
          <w:rFonts w:cs="Arial"/>
          <w:szCs w:val="24"/>
          <w:lang w:eastAsia="en-GB"/>
        </w:rPr>
      </w:pPr>
      <w:r w:rsidRPr="00AC2F98">
        <w:rPr>
          <w:rFonts w:cs="Arial"/>
          <w:szCs w:val="24"/>
          <w:lang w:eastAsia="en-GB"/>
        </w:rPr>
        <w:t xml:space="preserve">There also remains an overall funding gap of </w:t>
      </w:r>
      <w:r w:rsidRPr="002A3B25">
        <w:rPr>
          <w:rFonts w:cs="Arial"/>
          <w:szCs w:val="24"/>
          <w:lang w:eastAsia="en-GB"/>
        </w:rPr>
        <w:t>£33.299m by</w:t>
      </w:r>
      <w:r w:rsidRPr="00AC2F98">
        <w:rPr>
          <w:rFonts w:cs="Arial"/>
          <w:szCs w:val="24"/>
          <w:lang w:eastAsia="en-GB"/>
        </w:rPr>
        <w:t xml:space="preserve"> 2023/24. Current forecasts indicate that that there </w:t>
      </w:r>
      <w:r>
        <w:rPr>
          <w:rFonts w:cs="Arial"/>
          <w:szCs w:val="24"/>
          <w:lang w:eastAsia="en-GB"/>
        </w:rPr>
        <w:t>will</w:t>
      </w:r>
      <w:r w:rsidRPr="00AC2F98">
        <w:rPr>
          <w:rFonts w:cs="Arial"/>
          <w:szCs w:val="24"/>
          <w:lang w:eastAsia="en-GB"/>
        </w:rPr>
        <w:t xml:space="preserve"> be sufficient funds within the transitional reserve to support the identified budget gap through to and beyond 2023/24. However the intention is to identify further savings and thereby reduce </w:t>
      </w:r>
      <w:r>
        <w:rPr>
          <w:rFonts w:cs="Arial"/>
          <w:szCs w:val="24"/>
          <w:lang w:eastAsia="en-GB"/>
        </w:rPr>
        <w:t>any</w:t>
      </w:r>
      <w:r w:rsidRPr="00AC2F98">
        <w:rPr>
          <w:rFonts w:cs="Arial"/>
          <w:szCs w:val="24"/>
          <w:lang w:eastAsia="en-GB"/>
        </w:rPr>
        <w:t xml:space="preserve"> call on the transitional reserve, for 2021/22 and beyond.  </w:t>
      </w:r>
    </w:p>
    <w:p w14:paraId="434B8E7C" w14:textId="77777777" w:rsidR="00EF055A" w:rsidRPr="007A60AF" w:rsidRDefault="00EF055A" w:rsidP="00EF055A">
      <w:pPr>
        <w:spacing w:after="0"/>
        <w:jc w:val="both"/>
        <w:rPr>
          <w:rFonts w:cs="Arial"/>
          <w:szCs w:val="24"/>
          <w:highlight w:val="yellow"/>
        </w:rPr>
      </w:pPr>
    </w:p>
    <w:p w14:paraId="44A604F6" w14:textId="77777777" w:rsidR="00EF055A" w:rsidRPr="00B04F02" w:rsidRDefault="00EF055A" w:rsidP="00EF055A">
      <w:pPr>
        <w:spacing w:after="0"/>
        <w:jc w:val="both"/>
        <w:rPr>
          <w:rFonts w:cs="Arial"/>
          <w:szCs w:val="24"/>
        </w:rPr>
      </w:pPr>
      <w:r w:rsidRPr="00B04F02">
        <w:rPr>
          <w:rFonts w:cs="Arial"/>
          <w:szCs w:val="24"/>
        </w:rPr>
        <w:t>This report presents for consideration by the full council the recommendations of the cabinet for:</w:t>
      </w:r>
    </w:p>
    <w:p w14:paraId="30192A02" w14:textId="77777777" w:rsidR="00EF055A" w:rsidRPr="007A60AF" w:rsidRDefault="00EF055A" w:rsidP="00EF055A">
      <w:pPr>
        <w:spacing w:after="0"/>
        <w:jc w:val="both"/>
        <w:rPr>
          <w:rFonts w:cs="Arial"/>
          <w:szCs w:val="24"/>
          <w:highlight w:val="yellow"/>
        </w:rPr>
      </w:pPr>
    </w:p>
    <w:p w14:paraId="506D63FF" w14:textId="77777777" w:rsidR="00EF055A" w:rsidRPr="00B04F02" w:rsidRDefault="00EF055A" w:rsidP="00EF055A">
      <w:pPr>
        <w:pStyle w:val="ListParagraph"/>
        <w:numPr>
          <w:ilvl w:val="0"/>
          <w:numId w:val="5"/>
        </w:numPr>
        <w:spacing w:after="0"/>
        <w:jc w:val="both"/>
        <w:rPr>
          <w:rFonts w:cs="Arial"/>
          <w:szCs w:val="24"/>
        </w:rPr>
      </w:pPr>
      <w:r w:rsidRPr="00B04F02">
        <w:rPr>
          <w:rFonts w:cs="Arial"/>
          <w:szCs w:val="24"/>
        </w:rPr>
        <w:t>The revenue budget for 2020/21;</w:t>
      </w:r>
    </w:p>
    <w:p w14:paraId="0FA1FC3D" w14:textId="77777777" w:rsidR="00EF055A" w:rsidRPr="00B04F02" w:rsidRDefault="00EF055A" w:rsidP="00EF055A">
      <w:pPr>
        <w:pStyle w:val="ListParagraph"/>
        <w:numPr>
          <w:ilvl w:val="0"/>
          <w:numId w:val="5"/>
        </w:numPr>
        <w:spacing w:after="0"/>
        <w:jc w:val="both"/>
        <w:rPr>
          <w:rFonts w:cs="Arial"/>
          <w:szCs w:val="24"/>
        </w:rPr>
      </w:pPr>
      <w:r w:rsidRPr="00B04F02">
        <w:rPr>
          <w:rFonts w:cs="Arial"/>
          <w:szCs w:val="24"/>
        </w:rPr>
        <w:t>A revised capital delivery programme for 2020/21;</w:t>
      </w:r>
    </w:p>
    <w:p w14:paraId="54567864" w14:textId="77777777" w:rsidR="00EF055A" w:rsidRPr="00B04F02" w:rsidRDefault="00EF055A" w:rsidP="00EF055A">
      <w:pPr>
        <w:pStyle w:val="ListParagraph"/>
        <w:numPr>
          <w:ilvl w:val="0"/>
          <w:numId w:val="5"/>
        </w:numPr>
        <w:spacing w:after="0"/>
        <w:jc w:val="both"/>
        <w:rPr>
          <w:rFonts w:cs="Arial"/>
          <w:szCs w:val="24"/>
        </w:rPr>
      </w:pPr>
      <w:r w:rsidRPr="00B04F02">
        <w:rPr>
          <w:rFonts w:cs="Arial"/>
          <w:szCs w:val="24"/>
        </w:rPr>
        <w:t>The council tax and precept for 2020/21.</w:t>
      </w:r>
    </w:p>
    <w:p w14:paraId="14557211" w14:textId="77777777" w:rsidR="00EF055A" w:rsidRPr="007A60AF" w:rsidRDefault="00EF055A" w:rsidP="00EF055A">
      <w:pPr>
        <w:spacing w:after="0"/>
        <w:ind w:left="709" w:hanging="720"/>
        <w:jc w:val="both"/>
        <w:rPr>
          <w:rFonts w:cs="Arial"/>
          <w:szCs w:val="24"/>
          <w:highlight w:val="yellow"/>
        </w:rPr>
      </w:pPr>
    </w:p>
    <w:p w14:paraId="2D05B292" w14:textId="77777777" w:rsidR="00EF055A" w:rsidRPr="00B04F02" w:rsidRDefault="00EF055A" w:rsidP="00EF055A">
      <w:pPr>
        <w:spacing w:after="0"/>
        <w:jc w:val="both"/>
        <w:rPr>
          <w:rFonts w:cs="Arial"/>
          <w:szCs w:val="24"/>
        </w:rPr>
      </w:pPr>
      <w:r w:rsidRPr="00B04F02">
        <w:rPr>
          <w:rFonts w:cs="Arial"/>
          <w:szCs w:val="24"/>
        </w:rPr>
        <w:t>In addition the report sets out the advice of the Chief Executive and Director of Resources, as the council's statutory Chief Finance Officer, on the robustness of the budget and the adequacy of reserves as required by Section 25 of the Local Government Act 2003.</w:t>
      </w:r>
    </w:p>
    <w:p w14:paraId="4EA04DF3" w14:textId="77777777" w:rsidR="00EF055A" w:rsidRPr="007A60AF" w:rsidRDefault="00EF055A" w:rsidP="00EF055A">
      <w:pPr>
        <w:spacing w:after="0"/>
        <w:jc w:val="both"/>
        <w:rPr>
          <w:rFonts w:cs="Arial"/>
          <w:szCs w:val="24"/>
          <w:highlight w:val="yellow"/>
        </w:rPr>
      </w:pPr>
    </w:p>
    <w:p w14:paraId="76DB44FB" w14:textId="77777777" w:rsidR="00EF055A" w:rsidRPr="00B04F02" w:rsidRDefault="00EF055A" w:rsidP="00EF055A">
      <w:pPr>
        <w:spacing w:after="0"/>
        <w:jc w:val="both"/>
        <w:rPr>
          <w:rFonts w:cs="Arial"/>
        </w:rPr>
      </w:pPr>
      <w:r w:rsidRPr="00B04F02">
        <w:rPr>
          <w:rFonts w:cs="Arial"/>
          <w:szCs w:val="24"/>
        </w:rPr>
        <w:t>Reports will be provided regularly to cabinet in 2020/21 to update the financial position for the county council based on the latest information.</w:t>
      </w:r>
    </w:p>
    <w:p w14:paraId="54F24BFD" w14:textId="77777777" w:rsidR="00EF055A" w:rsidRPr="007A60AF" w:rsidRDefault="00EF055A" w:rsidP="00EF055A">
      <w:pPr>
        <w:spacing w:after="0"/>
        <w:jc w:val="both"/>
        <w:rPr>
          <w:rFonts w:cs="Arial"/>
          <w:szCs w:val="24"/>
          <w:highlight w:val="yellow"/>
        </w:rPr>
      </w:pPr>
    </w:p>
    <w:p w14:paraId="6E5A1E05" w14:textId="77777777" w:rsidR="00EF055A" w:rsidRPr="00B04F02" w:rsidRDefault="00EF055A" w:rsidP="00EF055A">
      <w:pPr>
        <w:autoSpaceDE w:val="0"/>
        <w:autoSpaceDN w:val="0"/>
        <w:adjustRightInd w:val="0"/>
        <w:spacing w:after="0"/>
        <w:jc w:val="both"/>
        <w:rPr>
          <w:rFonts w:cs="Arial"/>
          <w:b/>
          <w:color w:val="000000"/>
          <w:szCs w:val="24"/>
        </w:rPr>
      </w:pPr>
      <w:r w:rsidRPr="00B04F02">
        <w:rPr>
          <w:rFonts w:cs="Arial"/>
          <w:b/>
          <w:color w:val="000000"/>
          <w:szCs w:val="24"/>
        </w:rPr>
        <w:t>2. The Budget Process</w:t>
      </w:r>
    </w:p>
    <w:p w14:paraId="123EA25A" w14:textId="77777777" w:rsidR="00EF055A" w:rsidRPr="007A60AF" w:rsidRDefault="00EF055A" w:rsidP="00EF055A">
      <w:pPr>
        <w:pStyle w:val="ListParagraph"/>
        <w:autoSpaceDE w:val="0"/>
        <w:autoSpaceDN w:val="0"/>
        <w:adjustRightInd w:val="0"/>
        <w:spacing w:after="0"/>
        <w:ind w:left="360"/>
        <w:jc w:val="both"/>
        <w:rPr>
          <w:rFonts w:cs="Arial"/>
          <w:b/>
          <w:color w:val="000000"/>
          <w:szCs w:val="24"/>
          <w:highlight w:val="yellow"/>
        </w:rPr>
      </w:pPr>
    </w:p>
    <w:p w14:paraId="07E705FB" w14:textId="77777777" w:rsidR="00EF055A" w:rsidRPr="007317F3" w:rsidRDefault="00EF055A" w:rsidP="00EF055A">
      <w:pPr>
        <w:autoSpaceDE w:val="0"/>
        <w:autoSpaceDN w:val="0"/>
        <w:adjustRightInd w:val="0"/>
        <w:spacing w:after="0"/>
        <w:jc w:val="both"/>
        <w:rPr>
          <w:rFonts w:cs="Arial"/>
          <w:color w:val="000000"/>
          <w:szCs w:val="24"/>
        </w:rPr>
      </w:pPr>
      <w:r w:rsidRPr="00B04F02">
        <w:rPr>
          <w:rFonts w:cs="Arial"/>
          <w:color w:val="000000"/>
          <w:szCs w:val="24"/>
        </w:rPr>
        <w:t xml:space="preserve">The county council's approach is driven by a formal requirement to deliver a balanced budget in 2020/21. </w:t>
      </w:r>
      <w:r w:rsidRPr="002A3B25">
        <w:rPr>
          <w:rFonts w:cs="Arial"/>
          <w:color w:val="000000"/>
          <w:szCs w:val="24"/>
        </w:rPr>
        <w:t xml:space="preserve">This needs to be undertaken whilst recognising the position for future years.  </w:t>
      </w:r>
      <w:r w:rsidRPr="007317F3">
        <w:rPr>
          <w:rFonts w:cs="Arial"/>
          <w:color w:val="000000"/>
          <w:szCs w:val="24"/>
        </w:rPr>
        <w:t>The cabinet has considered the budget for 2020/21 and future years at a number of its meetings. The reports considered can be found at:</w:t>
      </w:r>
    </w:p>
    <w:p w14:paraId="44DD12E6" w14:textId="77777777" w:rsidR="00EF055A" w:rsidRPr="007317F3" w:rsidRDefault="00EF055A" w:rsidP="00EF055A">
      <w:pPr>
        <w:autoSpaceDE w:val="0"/>
        <w:autoSpaceDN w:val="0"/>
        <w:adjustRightInd w:val="0"/>
        <w:spacing w:after="0"/>
        <w:jc w:val="both"/>
        <w:rPr>
          <w:rFonts w:cs="Arial"/>
          <w:color w:val="0000FF"/>
          <w:szCs w:val="24"/>
        </w:rPr>
      </w:pPr>
    </w:p>
    <w:p w14:paraId="702ADB8A" w14:textId="77777777" w:rsidR="00EF055A" w:rsidRPr="007317F3" w:rsidRDefault="00382979" w:rsidP="00EF055A">
      <w:pPr>
        <w:spacing w:after="0"/>
        <w:jc w:val="both"/>
        <w:rPr>
          <w:rFonts w:cs="Arial"/>
          <w:szCs w:val="24"/>
        </w:rPr>
      </w:pPr>
      <w:hyperlink r:id="rId8" w:history="1">
        <w:r w:rsidR="00EF055A" w:rsidRPr="007317F3">
          <w:rPr>
            <w:rStyle w:val="Hyperlink"/>
            <w:rFonts w:cs="Arial"/>
            <w:szCs w:val="24"/>
          </w:rPr>
          <w:t>http://council.lancashire.gov.uk/ieListMeetings.aspx?CommitteeId=122</w:t>
        </w:r>
      </w:hyperlink>
    </w:p>
    <w:p w14:paraId="3735431B" w14:textId="77777777" w:rsidR="00EF055A" w:rsidRDefault="00EF055A" w:rsidP="00EF055A">
      <w:pPr>
        <w:spacing w:after="0"/>
        <w:jc w:val="both"/>
        <w:rPr>
          <w:rFonts w:cs="Arial"/>
          <w:highlight w:val="yellow"/>
        </w:rPr>
      </w:pPr>
    </w:p>
    <w:p w14:paraId="115C33F6" w14:textId="77777777" w:rsidR="00EF055A" w:rsidRPr="007A60AF" w:rsidRDefault="00EF055A" w:rsidP="00EF055A">
      <w:pPr>
        <w:spacing w:after="0"/>
        <w:jc w:val="both"/>
        <w:rPr>
          <w:rFonts w:cs="Arial"/>
          <w:highlight w:val="yellow"/>
        </w:rPr>
      </w:pPr>
    </w:p>
    <w:p w14:paraId="19420CFB" w14:textId="77777777" w:rsidR="00EF055A" w:rsidRPr="00B04F02" w:rsidRDefault="00EF055A" w:rsidP="00EF055A">
      <w:pPr>
        <w:spacing w:after="0"/>
        <w:jc w:val="both"/>
        <w:rPr>
          <w:rFonts w:cs="Arial"/>
          <w:b/>
          <w:szCs w:val="24"/>
        </w:rPr>
      </w:pPr>
      <w:r w:rsidRPr="00B04F02">
        <w:rPr>
          <w:rFonts w:cs="Arial"/>
          <w:b/>
          <w:szCs w:val="24"/>
        </w:rPr>
        <w:t>3. The Revenue Budget</w:t>
      </w:r>
      <w:r w:rsidRPr="00B04F02">
        <w:rPr>
          <w:rFonts w:cs="Arial"/>
          <w:szCs w:val="24"/>
        </w:rPr>
        <w:t xml:space="preserve"> </w:t>
      </w:r>
      <w:r w:rsidRPr="00B04F02">
        <w:rPr>
          <w:rFonts w:cs="Arial"/>
          <w:b/>
          <w:szCs w:val="24"/>
        </w:rPr>
        <w:t>2020/21 to 2023/24</w:t>
      </w:r>
    </w:p>
    <w:p w14:paraId="15F8BDE5" w14:textId="77777777" w:rsidR="00EF055A" w:rsidRPr="007A60AF" w:rsidRDefault="00EF055A" w:rsidP="00EF055A">
      <w:pPr>
        <w:spacing w:after="0"/>
        <w:jc w:val="both"/>
        <w:rPr>
          <w:rFonts w:cs="Arial"/>
          <w:i/>
          <w:szCs w:val="24"/>
          <w:highlight w:val="yellow"/>
        </w:rPr>
      </w:pPr>
    </w:p>
    <w:p w14:paraId="0299C353" w14:textId="77777777" w:rsidR="00EF055A" w:rsidRDefault="00EF055A" w:rsidP="00EF055A">
      <w:pPr>
        <w:spacing w:after="0"/>
        <w:jc w:val="both"/>
        <w:rPr>
          <w:rFonts w:cs="Arial"/>
          <w:szCs w:val="24"/>
        </w:rPr>
      </w:pPr>
      <w:r w:rsidRPr="009378A1">
        <w:rPr>
          <w:rFonts w:cs="Arial"/>
          <w:szCs w:val="24"/>
        </w:rPr>
        <w:t>The county council's medium term financial strategy (MTFS) was approved by full council in February 2019 covering the 2019/20 budget and the forecast position for 2020/21 to 2022/23.  This identified the funding gap in each year as follows:</w:t>
      </w:r>
    </w:p>
    <w:p w14:paraId="5FE7056B" w14:textId="77777777" w:rsidR="00EF055A" w:rsidRDefault="00EF055A" w:rsidP="00EF055A">
      <w:pPr>
        <w:spacing w:after="0"/>
        <w:jc w:val="both"/>
        <w:rPr>
          <w:rFonts w:cs="Arial"/>
          <w:szCs w:val="24"/>
        </w:rPr>
      </w:pPr>
    </w:p>
    <w:p w14:paraId="3CC7B18A" w14:textId="77777777" w:rsidR="00EF055A" w:rsidRDefault="00EF055A" w:rsidP="00EF055A">
      <w:pPr>
        <w:spacing w:after="0"/>
        <w:jc w:val="both"/>
        <w:rPr>
          <w:rFonts w:cs="Arial"/>
          <w:szCs w:val="24"/>
        </w:rPr>
      </w:pPr>
    </w:p>
    <w:p w14:paraId="53F2D98B" w14:textId="77777777" w:rsidR="00EF055A" w:rsidRDefault="00EF055A" w:rsidP="00EF055A">
      <w:pPr>
        <w:spacing w:after="0"/>
        <w:jc w:val="both"/>
        <w:rPr>
          <w:rFonts w:cs="Arial"/>
          <w:szCs w:val="24"/>
        </w:rPr>
      </w:pPr>
    </w:p>
    <w:p w14:paraId="26907E3E" w14:textId="77777777" w:rsidR="00EF055A" w:rsidRDefault="00EF055A" w:rsidP="00EF055A">
      <w:pPr>
        <w:spacing w:after="0"/>
        <w:jc w:val="both"/>
        <w:rPr>
          <w:rFonts w:cs="Arial"/>
          <w:szCs w:val="24"/>
        </w:rPr>
      </w:pPr>
    </w:p>
    <w:p w14:paraId="1047D4B6" w14:textId="77777777" w:rsidR="00EF055A" w:rsidRPr="009378A1" w:rsidRDefault="00EF055A" w:rsidP="00EF055A">
      <w:pPr>
        <w:spacing w:after="0"/>
        <w:jc w:val="both"/>
        <w:rPr>
          <w:rFonts w:cs="Arial"/>
          <w:szCs w:val="24"/>
        </w:rPr>
      </w:pPr>
    </w:p>
    <w:p w14:paraId="2EB808D5" w14:textId="77777777" w:rsidR="00EF055A" w:rsidRPr="007A60AF" w:rsidRDefault="00EF055A" w:rsidP="00EF055A">
      <w:pPr>
        <w:spacing w:after="0"/>
        <w:jc w:val="both"/>
        <w:rPr>
          <w:rFonts w:cs="Arial"/>
          <w:szCs w:val="24"/>
          <w:highlight w:val="yellow"/>
        </w:rPr>
      </w:pPr>
    </w:p>
    <w:p w14:paraId="6537AE7D" w14:textId="77777777" w:rsidR="00EF055A" w:rsidRPr="00B04F02" w:rsidRDefault="00EF055A" w:rsidP="00EF055A">
      <w:pPr>
        <w:spacing w:after="0"/>
        <w:rPr>
          <w:rFonts w:cs="Arial"/>
          <w:b/>
          <w:szCs w:val="24"/>
          <w:u w:val="single"/>
        </w:rPr>
      </w:pPr>
      <w:r w:rsidRPr="00B04F02">
        <w:rPr>
          <w:rFonts w:cs="Arial"/>
          <w:b/>
          <w:szCs w:val="24"/>
          <w:u w:val="single"/>
        </w:rPr>
        <w:lastRenderedPageBreak/>
        <w:t>Table 1</w:t>
      </w:r>
    </w:p>
    <w:p w14:paraId="242DECD2" w14:textId="77777777" w:rsidR="00EF055A" w:rsidRPr="007A60AF" w:rsidRDefault="00EF055A" w:rsidP="00EF055A">
      <w:pPr>
        <w:spacing w:after="0"/>
        <w:jc w:val="both"/>
        <w:rPr>
          <w:rFonts w:cs="Arial"/>
          <w:b/>
          <w:szCs w:val="24"/>
          <w:highlight w:val="yellow"/>
          <w:u w:val="single"/>
        </w:rPr>
      </w:pPr>
    </w:p>
    <w:tbl>
      <w:tblPr>
        <w:tblW w:w="9629" w:type="dxa"/>
        <w:tblLook w:val="04A0" w:firstRow="1" w:lastRow="0" w:firstColumn="1" w:lastColumn="0" w:noHBand="0" w:noVBand="1"/>
      </w:tblPr>
      <w:tblGrid>
        <w:gridCol w:w="2623"/>
        <w:gridCol w:w="1685"/>
        <w:gridCol w:w="1685"/>
        <w:gridCol w:w="1818"/>
        <w:gridCol w:w="1818"/>
      </w:tblGrid>
      <w:tr w:rsidR="009C2438" w14:paraId="660026B1" w14:textId="77777777" w:rsidTr="00EF055A">
        <w:trPr>
          <w:trHeight w:val="480"/>
        </w:trPr>
        <w:tc>
          <w:tcPr>
            <w:tcW w:w="262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0E2EDFD" w14:textId="77777777" w:rsidR="00EF055A" w:rsidRPr="00EA17B1" w:rsidRDefault="00EF055A" w:rsidP="00EF055A">
            <w:pPr>
              <w:spacing w:after="0" w:line="240" w:lineRule="auto"/>
              <w:rPr>
                <w:rFonts w:cs="Arial"/>
                <w:b/>
                <w:bCs/>
                <w:color w:val="000000"/>
                <w:szCs w:val="24"/>
                <w:lang w:eastAsia="en-GB"/>
              </w:rPr>
            </w:pPr>
            <w:r w:rsidRPr="00EA17B1">
              <w:rPr>
                <w:rFonts w:cs="Arial"/>
                <w:b/>
                <w:bCs/>
                <w:color w:val="000000"/>
                <w:szCs w:val="24"/>
                <w:lang w:eastAsia="en-GB"/>
              </w:rPr>
              <w:t>Aggregated Funding Gap</w:t>
            </w:r>
          </w:p>
        </w:tc>
        <w:tc>
          <w:tcPr>
            <w:tcW w:w="1685" w:type="dxa"/>
            <w:tcBorders>
              <w:top w:val="single" w:sz="8" w:space="0" w:color="auto"/>
              <w:left w:val="nil"/>
              <w:bottom w:val="single" w:sz="8" w:space="0" w:color="auto"/>
              <w:right w:val="single" w:sz="8" w:space="0" w:color="auto"/>
            </w:tcBorders>
            <w:shd w:val="clear" w:color="000000" w:fill="BFBFBF"/>
            <w:vAlign w:val="center"/>
            <w:hideMark/>
          </w:tcPr>
          <w:p w14:paraId="6CD0B123" w14:textId="77777777" w:rsidR="00EF055A" w:rsidRPr="00EA17B1" w:rsidRDefault="00EF055A" w:rsidP="00EF055A">
            <w:pPr>
              <w:spacing w:after="0" w:line="240" w:lineRule="auto"/>
              <w:jc w:val="right"/>
              <w:rPr>
                <w:rFonts w:cs="Arial"/>
                <w:b/>
                <w:bCs/>
                <w:color w:val="000000"/>
                <w:szCs w:val="24"/>
                <w:lang w:eastAsia="en-GB"/>
              </w:rPr>
            </w:pPr>
            <w:r>
              <w:rPr>
                <w:rFonts w:cs="Arial"/>
                <w:b/>
                <w:bCs/>
                <w:color w:val="000000"/>
                <w:szCs w:val="24"/>
                <w:lang w:eastAsia="en-GB"/>
              </w:rPr>
              <w:t>2019/20</w:t>
            </w:r>
            <w:r w:rsidRPr="00EA17B1">
              <w:rPr>
                <w:rFonts w:cs="Arial"/>
                <w:b/>
                <w:bCs/>
                <w:color w:val="000000"/>
                <w:szCs w:val="24"/>
                <w:lang w:eastAsia="en-GB"/>
              </w:rPr>
              <w:t> </w:t>
            </w:r>
          </w:p>
        </w:tc>
        <w:tc>
          <w:tcPr>
            <w:tcW w:w="1685" w:type="dxa"/>
            <w:tcBorders>
              <w:top w:val="single" w:sz="8" w:space="0" w:color="auto"/>
              <w:left w:val="nil"/>
              <w:bottom w:val="single" w:sz="8" w:space="0" w:color="auto"/>
              <w:right w:val="single" w:sz="8" w:space="0" w:color="auto"/>
            </w:tcBorders>
            <w:shd w:val="clear" w:color="000000" w:fill="BFBFBF"/>
            <w:vAlign w:val="center"/>
            <w:hideMark/>
          </w:tcPr>
          <w:p w14:paraId="1D288EB1" w14:textId="77777777" w:rsidR="00EF055A" w:rsidRPr="00EA17B1" w:rsidRDefault="00EF055A" w:rsidP="00EF055A">
            <w:pPr>
              <w:spacing w:after="0" w:line="240" w:lineRule="auto"/>
              <w:jc w:val="right"/>
              <w:rPr>
                <w:rFonts w:cs="Arial"/>
                <w:b/>
                <w:bCs/>
                <w:color w:val="000000"/>
                <w:szCs w:val="24"/>
                <w:lang w:eastAsia="en-GB"/>
              </w:rPr>
            </w:pPr>
            <w:r>
              <w:rPr>
                <w:rFonts w:cs="Arial"/>
                <w:b/>
                <w:bCs/>
                <w:color w:val="000000"/>
                <w:szCs w:val="24"/>
                <w:lang w:eastAsia="en-GB"/>
              </w:rPr>
              <w:t>2020/21</w:t>
            </w:r>
            <w:r w:rsidRPr="00EA17B1">
              <w:rPr>
                <w:rFonts w:cs="Arial"/>
                <w:b/>
                <w:bCs/>
                <w:color w:val="000000"/>
                <w:szCs w:val="24"/>
                <w:lang w:eastAsia="en-GB"/>
              </w:rPr>
              <w:t> </w:t>
            </w:r>
          </w:p>
        </w:tc>
        <w:tc>
          <w:tcPr>
            <w:tcW w:w="1818" w:type="dxa"/>
            <w:tcBorders>
              <w:top w:val="single" w:sz="8" w:space="0" w:color="auto"/>
              <w:left w:val="nil"/>
              <w:bottom w:val="single" w:sz="8" w:space="0" w:color="auto"/>
              <w:right w:val="single" w:sz="8" w:space="0" w:color="auto"/>
            </w:tcBorders>
            <w:shd w:val="clear" w:color="000000" w:fill="BFBFBF"/>
            <w:vAlign w:val="center"/>
            <w:hideMark/>
          </w:tcPr>
          <w:p w14:paraId="37F6E342" w14:textId="77777777" w:rsidR="00EF055A" w:rsidRPr="00EA17B1" w:rsidRDefault="00EF055A" w:rsidP="00EF055A">
            <w:pPr>
              <w:spacing w:after="0" w:line="240" w:lineRule="auto"/>
              <w:jc w:val="right"/>
              <w:rPr>
                <w:rFonts w:cs="Arial"/>
                <w:b/>
                <w:bCs/>
                <w:color w:val="000000"/>
                <w:szCs w:val="24"/>
                <w:lang w:eastAsia="en-GB"/>
              </w:rPr>
            </w:pPr>
            <w:r>
              <w:rPr>
                <w:rFonts w:cs="Arial"/>
                <w:b/>
                <w:bCs/>
                <w:color w:val="000000"/>
                <w:szCs w:val="24"/>
                <w:lang w:eastAsia="en-GB"/>
              </w:rPr>
              <w:t>2021/22</w:t>
            </w:r>
            <w:r w:rsidRPr="00EA17B1">
              <w:rPr>
                <w:rFonts w:cs="Arial"/>
                <w:b/>
                <w:bCs/>
                <w:color w:val="000000"/>
                <w:szCs w:val="24"/>
                <w:lang w:eastAsia="en-GB"/>
              </w:rPr>
              <w:t> </w:t>
            </w:r>
          </w:p>
        </w:tc>
        <w:tc>
          <w:tcPr>
            <w:tcW w:w="1818" w:type="dxa"/>
            <w:tcBorders>
              <w:top w:val="single" w:sz="8" w:space="0" w:color="auto"/>
              <w:left w:val="nil"/>
              <w:bottom w:val="single" w:sz="8" w:space="0" w:color="auto"/>
              <w:right w:val="single" w:sz="8" w:space="0" w:color="auto"/>
            </w:tcBorders>
            <w:shd w:val="clear" w:color="000000" w:fill="BFBFBF"/>
            <w:vAlign w:val="center"/>
            <w:hideMark/>
          </w:tcPr>
          <w:p w14:paraId="15793558" w14:textId="77777777" w:rsidR="00EF055A" w:rsidRPr="00EA17B1" w:rsidRDefault="00EF055A" w:rsidP="00EF055A">
            <w:pPr>
              <w:spacing w:after="0" w:line="240" w:lineRule="auto"/>
              <w:jc w:val="right"/>
              <w:rPr>
                <w:rFonts w:cs="Arial"/>
                <w:b/>
                <w:bCs/>
                <w:color w:val="000000"/>
                <w:szCs w:val="24"/>
                <w:lang w:eastAsia="en-GB"/>
              </w:rPr>
            </w:pPr>
            <w:r>
              <w:rPr>
                <w:rFonts w:cs="Arial"/>
                <w:b/>
                <w:bCs/>
                <w:color w:val="000000"/>
                <w:szCs w:val="24"/>
                <w:lang w:eastAsia="en-GB"/>
              </w:rPr>
              <w:t>2022/23</w:t>
            </w:r>
            <w:r w:rsidRPr="00EA17B1">
              <w:rPr>
                <w:rFonts w:cs="Arial"/>
                <w:b/>
                <w:bCs/>
                <w:color w:val="000000"/>
                <w:szCs w:val="24"/>
                <w:lang w:eastAsia="en-GB"/>
              </w:rPr>
              <w:t> </w:t>
            </w:r>
          </w:p>
        </w:tc>
      </w:tr>
      <w:tr w:rsidR="009C2438" w14:paraId="731BBC02" w14:textId="77777777" w:rsidTr="00EF055A">
        <w:trPr>
          <w:trHeight w:val="345"/>
        </w:trPr>
        <w:tc>
          <w:tcPr>
            <w:tcW w:w="2623" w:type="dxa"/>
            <w:tcBorders>
              <w:top w:val="nil"/>
              <w:left w:val="single" w:sz="8" w:space="0" w:color="auto"/>
              <w:bottom w:val="single" w:sz="8" w:space="0" w:color="auto"/>
              <w:right w:val="single" w:sz="8" w:space="0" w:color="auto"/>
            </w:tcBorders>
            <w:shd w:val="clear" w:color="auto" w:fill="auto"/>
            <w:vAlign w:val="center"/>
            <w:hideMark/>
          </w:tcPr>
          <w:p w14:paraId="2ED93735" w14:textId="77777777" w:rsidR="00EF055A" w:rsidRPr="00231A8F" w:rsidRDefault="00EF055A" w:rsidP="00EF055A">
            <w:pPr>
              <w:spacing w:after="0" w:line="240" w:lineRule="auto"/>
              <w:rPr>
                <w:rFonts w:cs="Arial"/>
                <w:b/>
                <w:bCs/>
                <w:color w:val="000000"/>
                <w:szCs w:val="24"/>
                <w:lang w:eastAsia="en-GB"/>
              </w:rPr>
            </w:pPr>
            <w:r w:rsidRPr="00231A8F">
              <w:rPr>
                <w:rFonts w:cs="Arial"/>
                <w:b/>
                <w:bCs/>
                <w:color w:val="000000"/>
                <w:szCs w:val="24"/>
                <w:lang w:eastAsia="en-GB"/>
              </w:rPr>
              <w:t>2019/20 (£m)</w:t>
            </w:r>
          </w:p>
        </w:tc>
        <w:tc>
          <w:tcPr>
            <w:tcW w:w="1685" w:type="dxa"/>
            <w:tcBorders>
              <w:top w:val="nil"/>
              <w:left w:val="nil"/>
              <w:bottom w:val="single" w:sz="8" w:space="0" w:color="auto"/>
              <w:right w:val="single" w:sz="8" w:space="0" w:color="auto"/>
            </w:tcBorders>
            <w:shd w:val="clear" w:color="auto" w:fill="auto"/>
            <w:vAlign w:val="center"/>
          </w:tcPr>
          <w:p w14:paraId="5E27BD1A" w14:textId="77777777" w:rsidR="00EF055A" w:rsidRPr="00231A8F" w:rsidRDefault="00EF055A" w:rsidP="00EF055A">
            <w:pPr>
              <w:spacing w:after="0" w:line="240" w:lineRule="auto"/>
              <w:jc w:val="right"/>
              <w:rPr>
                <w:rFonts w:cs="Arial"/>
                <w:color w:val="000000"/>
                <w:szCs w:val="24"/>
                <w:lang w:eastAsia="en-GB"/>
              </w:rPr>
            </w:pPr>
            <w:r w:rsidRPr="00231A8F">
              <w:rPr>
                <w:rFonts w:cs="Arial"/>
                <w:color w:val="000000"/>
                <w:szCs w:val="24"/>
                <w:lang w:eastAsia="en-GB"/>
              </w:rPr>
              <w:t>10.245</w:t>
            </w:r>
          </w:p>
        </w:tc>
        <w:tc>
          <w:tcPr>
            <w:tcW w:w="1685" w:type="dxa"/>
            <w:tcBorders>
              <w:top w:val="nil"/>
              <w:left w:val="nil"/>
              <w:bottom w:val="single" w:sz="8" w:space="0" w:color="auto"/>
              <w:right w:val="single" w:sz="8" w:space="0" w:color="auto"/>
            </w:tcBorders>
            <w:shd w:val="clear" w:color="auto" w:fill="auto"/>
            <w:vAlign w:val="center"/>
          </w:tcPr>
          <w:p w14:paraId="358E67E9" w14:textId="77777777" w:rsidR="00EF055A" w:rsidRPr="00231A8F" w:rsidRDefault="00EF055A" w:rsidP="00EF055A">
            <w:pPr>
              <w:spacing w:after="0" w:line="240" w:lineRule="auto"/>
              <w:jc w:val="right"/>
              <w:rPr>
                <w:rFonts w:cs="Arial"/>
                <w:color w:val="000000"/>
                <w:szCs w:val="24"/>
                <w:lang w:eastAsia="en-GB"/>
              </w:rPr>
            </w:pPr>
            <w:r w:rsidRPr="00231A8F">
              <w:rPr>
                <w:rFonts w:cs="Arial"/>
                <w:color w:val="000000"/>
                <w:szCs w:val="24"/>
                <w:lang w:eastAsia="en-GB"/>
              </w:rPr>
              <w:t>10.245</w:t>
            </w:r>
          </w:p>
        </w:tc>
        <w:tc>
          <w:tcPr>
            <w:tcW w:w="1818" w:type="dxa"/>
            <w:tcBorders>
              <w:top w:val="nil"/>
              <w:left w:val="nil"/>
              <w:bottom w:val="single" w:sz="8" w:space="0" w:color="auto"/>
              <w:right w:val="single" w:sz="8" w:space="0" w:color="auto"/>
            </w:tcBorders>
            <w:shd w:val="clear" w:color="auto" w:fill="auto"/>
            <w:vAlign w:val="center"/>
          </w:tcPr>
          <w:p w14:paraId="33352AD7" w14:textId="77777777" w:rsidR="00EF055A" w:rsidRPr="00231A8F" w:rsidRDefault="00EF055A" w:rsidP="00EF055A">
            <w:pPr>
              <w:spacing w:after="0" w:line="240" w:lineRule="auto"/>
              <w:jc w:val="right"/>
              <w:rPr>
                <w:rFonts w:cs="Arial"/>
                <w:color w:val="000000"/>
                <w:szCs w:val="24"/>
                <w:lang w:eastAsia="en-GB"/>
              </w:rPr>
            </w:pPr>
            <w:r w:rsidRPr="00231A8F">
              <w:rPr>
                <w:rFonts w:cs="Arial"/>
                <w:color w:val="000000"/>
                <w:szCs w:val="24"/>
                <w:lang w:eastAsia="en-GB"/>
              </w:rPr>
              <w:t>10.245</w:t>
            </w:r>
          </w:p>
        </w:tc>
        <w:tc>
          <w:tcPr>
            <w:tcW w:w="1818" w:type="dxa"/>
            <w:tcBorders>
              <w:top w:val="nil"/>
              <w:left w:val="nil"/>
              <w:bottom w:val="single" w:sz="8" w:space="0" w:color="auto"/>
              <w:right w:val="single" w:sz="8" w:space="0" w:color="auto"/>
            </w:tcBorders>
            <w:shd w:val="clear" w:color="auto" w:fill="auto"/>
            <w:vAlign w:val="center"/>
          </w:tcPr>
          <w:p w14:paraId="19B941BD" w14:textId="77777777" w:rsidR="00EF055A" w:rsidRPr="00231A8F" w:rsidRDefault="00EF055A" w:rsidP="00EF055A">
            <w:pPr>
              <w:spacing w:after="0" w:line="240" w:lineRule="auto"/>
              <w:jc w:val="right"/>
              <w:rPr>
                <w:rFonts w:cs="Arial"/>
                <w:color w:val="000000"/>
                <w:szCs w:val="24"/>
                <w:lang w:eastAsia="en-GB"/>
              </w:rPr>
            </w:pPr>
            <w:r w:rsidRPr="00231A8F">
              <w:rPr>
                <w:rFonts w:cs="Arial"/>
                <w:color w:val="000000"/>
                <w:szCs w:val="24"/>
                <w:lang w:eastAsia="en-GB"/>
              </w:rPr>
              <w:t>10.245</w:t>
            </w:r>
          </w:p>
        </w:tc>
      </w:tr>
      <w:tr w:rsidR="009C2438" w14:paraId="2F6C48AF" w14:textId="77777777" w:rsidTr="00EF055A">
        <w:trPr>
          <w:trHeight w:val="435"/>
        </w:trPr>
        <w:tc>
          <w:tcPr>
            <w:tcW w:w="2623" w:type="dxa"/>
            <w:tcBorders>
              <w:top w:val="nil"/>
              <w:left w:val="single" w:sz="8" w:space="0" w:color="auto"/>
              <w:bottom w:val="single" w:sz="8" w:space="0" w:color="auto"/>
              <w:right w:val="single" w:sz="8" w:space="0" w:color="auto"/>
            </w:tcBorders>
            <w:shd w:val="clear" w:color="auto" w:fill="auto"/>
            <w:vAlign w:val="center"/>
            <w:hideMark/>
          </w:tcPr>
          <w:p w14:paraId="0A089C74" w14:textId="77777777" w:rsidR="00EF055A" w:rsidRPr="00231A8F" w:rsidRDefault="00EF055A" w:rsidP="00EF055A">
            <w:pPr>
              <w:spacing w:after="0" w:line="240" w:lineRule="auto"/>
              <w:rPr>
                <w:rFonts w:cs="Arial"/>
                <w:b/>
                <w:bCs/>
                <w:color w:val="000000"/>
                <w:szCs w:val="24"/>
                <w:lang w:eastAsia="en-GB"/>
              </w:rPr>
            </w:pPr>
            <w:r w:rsidRPr="00231A8F">
              <w:rPr>
                <w:rFonts w:cs="Arial"/>
                <w:b/>
                <w:bCs/>
                <w:color w:val="000000"/>
                <w:szCs w:val="24"/>
                <w:lang w:eastAsia="en-GB"/>
              </w:rPr>
              <w:t>2020/21 (£m)</w:t>
            </w:r>
          </w:p>
        </w:tc>
        <w:tc>
          <w:tcPr>
            <w:tcW w:w="1685" w:type="dxa"/>
            <w:tcBorders>
              <w:top w:val="nil"/>
              <w:left w:val="nil"/>
              <w:bottom w:val="single" w:sz="8" w:space="0" w:color="auto"/>
              <w:right w:val="single" w:sz="8" w:space="0" w:color="auto"/>
            </w:tcBorders>
            <w:shd w:val="clear" w:color="auto" w:fill="auto"/>
            <w:vAlign w:val="center"/>
          </w:tcPr>
          <w:p w14:paraId="0766CE35" w14:textId="77777777" w:rsidR="00EF055A" w:rsidRPr="00231A8F" w:rsidRDefault="00EF055A" w:rsidP="00EF055A">
            <w:pPr>
              <w:spacing w:after="0" w:line="240" w:lineRule="auto"/>
              <w:jc w:val="right"/>
              <w:rPr>
                <w:rFonts w:cs="Arial"/>
                <w:color w:val="000000"/>
                <w:szCs w:val="24"/>
                <w:lang w:eastAsia="en-GB"/>
              </w:rPr>
            </w:pPr>
          </w:p>
        </w:tc>
        <w:tc>
          <w:tcPr>
            <w:tcW w:w="1685" w:type="dxa"/>
            <w:tcBorders>
              <w:top w:val="nil"/>
              <w:left w:val="nil"/>
              <w:bottom w:val="single" w:sz="8" w:space="0" w:color="auto"/>
              <w:right w:val="single" w:sz="8" w:space="0" w:color="auto"/>
            </w:tcBorders>
            <w:shd w:val="clear" w:color="auto" w:fill="auto"/>
            <w:vAlign w:val="center"/>
          </w:tcPr>
          <w:p w14:paraId="0E018659" w14:textId="77777777" w:rsidR="00EF055A" w:rsidRPr="00231A8F" w:rsidRDefault="00EF055A" w:rsidP="00EF055A">
            <w:pPr>
              <w:spacing w:after="0" w:line="240" w:lineRule="auto"/>
              <w:jc w:val="right"/>
              <w:rPr>
                <w:rFonts w:cs="Arial"/>
                <w:color w:val="000000"/>
                <w:szCs w:val="24"/>
                <w:lang w:eastAsia="en-GB"/>
              </w:rPr>
            </w:pPr>
            <w:r w:rsidRPr="00231A8F">
              <w:rPr>
                <w:rFonts w:cs="Arial"/>
                <w:color w:val="000000"/>
                <w:szCs w:val="24"/>
                <w:lang w:eastAsia="en-GB"/>
              </w:rPr>
              <w:t>20.125</w:t>
            </w:r>
          </w:p>
        </w:tc>
        <w:tc>
          <w:tcPr>
            <w:tcW w:w="1818" w:type="dxa"/>
            <w:tcBorders>
              <w:top w:val="nil"/>
              <w:left w:val="nil"/>
              <w:bottom w:val="single" w:sz="8" w:space="0" w:color="auto"/>
              <w:right w:val="single" w:sz="8" w:space="0" w:color="auto"/>
            </w:tcBorders>
            <w:shd w:val="clear" w:color="auto" w:fill="auto"/>
            <w:vAlign w:val="center"/>
          </w:tcPr>
          <w:p w14:paraId="6B8BB58F" w14:textId="77777777" w:rsidR="00EF055A" w:rsidRPr="00231A8F" w:rsidRDefault="00EF055A" w:rsidP="00EF055A">
            <w:pPr>
              <w:spacing w:after="0" w:line="240" w:lineRule="auto"/>
              <w:jc w:val="right"/>
              <w:rPr>
                <w:rFonts w:cs="Arial"/>
                <w:color w:val="000000"/>
                <w:szCs w:val="24"/>
                <w:lang w:eastAsia="en-GB"/>
              </w:rPr>
            </w:pPr>
            <w:r w:rsidRPr="00231A8F">
              <w:rPr>
                <w:rFonts w:cs="Arial"/>
                <w:color w:val="000000"/>
                <w:szCs w:val="24"/>
                <w:lang w:eastAsia="en-GB"/>
              </w:rPr>
              <w:t>20.125</w:t>
            </w:r>
          </w:p>
        </w:tc>
        <w:tc>
          <w:tcPr>
            <w:tcW w:w="1818" w:type="dxa"/>
            <w:tcBorders>
              <w:top w:val="nil"/>
              <w:left w:val="nil"/>
              <w:bottom w:val="single" w:sz="8" w:space="0" w:color="auto"/>
              <w:right w:val="single" w:sz="8" w:space="0" w:color="auto"/>
            </w:tcBorders>
            <w:shd w:val="clear" w:color="auto" w:fill="auto"/>
            <w:vAlign w:val="center"/>
          </w:tcPr>
          <w:p w14:paraId="69C115C0" w14:textId="77777777" w:rsidR="00EF055A" w:rsidRPr="00231A8F" w:rsidRDefault="00EF055A" w:rsidP="00EF055A">
            <w:pPr>
              <w:spacing w:after="0" w:line="240" w:lineRule="auto"/>
              <w:jc w:val="right"/>
              <w:rPr>
                <w:rFonts w:cs="Arial"/>
                <w:color w:val="000000"/>
                <w:szCs w:val="24"/>
                <w:lang w:eastAsia="en-GB"/>
              </w:rPr>
            </w:pPr>
            <w:r w:rsidRPr="00231A8F">
              <w:rPr>
                <w:rFonts w:cs="Arial"/>
                <w:color w:val="000000"/>
                <w:szCs w:val="24"/>
                <w:lang w:eastAsia="en-GB"/>
              </w:rPr>
              <w:t>20.125</w:t>
            </w:r>
          </w:p>
        </w:tc>
      </w:tr>
      <w:tr w:rsidR="009C2438" w14:paraId="111417AD" w14:textId="77777777" w:rsidTr="00EF055A">
        <w:trPr>
          <w:trHeight w:val="405"/>
        </w:trPr>
        <w:tc>
          <w:tcPr>
            <w:tcW w:w="2623" w:type="dxa"/>
            <w:tcBorders>
              <w:top w:val="nil"/>
              <w:left w:val="single" w:sz="8" w:space="0" w:color="auto"/>
              <w:bottom w:val="single" w:sz="8" w:space="0" w:color="auto"/>
              <w:right w:val="single" w:sz="8" w:space="0" w:color="auto"/>
            </w:tcBorders>
            <w:shd w:val="clear" w:color="auto" w:fill="auto"/>
            <w:vAlign w:val="center"/>
            <w:hideMark/>
          </w:tcPr>
          <w:p w14:paraId="682D248F" w14:textId="77777777" w:rsidR="00EF055A" w:rsidRPr="00231A8F" w:rsidRDefault="00EF055A" w:rsidP="00EF055A">
            <w:pPr>
              <w:spacing w:after="0" w:line="240" w:lineRule="auto"/>
              <w:rPr>
                <w:rFonts w:cs="Arial"/>
                <w:b/>
                <w:bCs/>
                <w:color w:val="000000"/>
                <w:szCs w:val="24"/>
                <w:lang w:eastAsia="en-GB"/>
              </w:rPr>
            </w:pPr>
            <w:r w:rsidRPr="00231A8F">
              <w:rPr>
                <w:rFonts w:cs="Arial"/>
                <w:b/>
                <w:bCs/>
                <w:color w:val="000000"/>
                <w:szCs w:val="24"/>
                <w:lang w:eastAsia="en-GB"/>
              </w:rPr>
              <w:t>2021/22 (£m)</w:t>
            </w:r>
          </w:p>
        </w:tc>
        <w:tc>
          <w:tcPr>
            <w:tcW w:w="1685" w:type="dxa"/>
            <w:tcBorders>
              <w:top w:val="nil"/>
              <w:left w:val="nil"/>
              <w:bottom w:val="single" w:sz="8" w:space="0" w:color="auto"/>
              <w:right w:val="single" w:sz="8" w:space="0" w:color="auto"/>
            </w:tcBorders>
            <w:shd w:val="clear" w:color="auto" w:fill="auto"/>
            <w:vAlign w:val="center"/>
          </w:tcPr>
          <w:p w14:paraId="26E06AA0" w14:textId="77777777" w:rsidR="00EF055A" w:rsidRPr="00231A8F" w:rsidRDefault="00EF055A" w:rsidP="00EF055A">
            <w:pPr>
              <w:spacing w:after="0" w:line="240" w:lineRule="auto"/>
              <w:jc w:val="right"/>
              <w:rPr>
                <w:rFonts w:cs="Arial"/>
                <w:color w:val="000000"/>
                <w:szCs w:val="24"/>
                <w:lang w:eastAsia="en-GB"/>
              </w:rPr>
            </w:pPr>
          </w:p>
        </w:tc>
        <w:tc>
          <w:tcPr>
            <w:tcW w:w="1685" w:type="dxa"/>
            <w:tcBorders>
              <w:top w:val="nil"/>
              <w:left w:val="nil"/>
              <w:bottom w:val="single" w:sz="8" w:space="0" w:color="auto"/>
              <w:right w:val="single" w:sz="8" w:space="0" w:color="auto"/>
            </w:tcBorders>
            <w:shd w:val="clear" w:color="auto" w:fill="auto"/>
            <w:vAlign w:val="center"/>
          </w:tcPr>
          <w:p w14:paraId="0A674C74" w14:textId="77777777" w:rsidR="00EF055A" w:rsidRPr="00231A8F" w:rsidRDefault="00EF055A" w:rsidP="00EF055A">
            <w:pPr>
              <w:spacing w:after="0" w:line="240" w:lineRule="auto"/>
              <w:jc w:val="right"/>
              <w:rPr>
                <w:rFonts w:cs="Arial"/>
                <w:color w:val="000000"/>
                <w:szCs w:val="24"/>
                <w:lang w:eastAsia="en-GB"/>
              </w:rPr>
            </w:pPr>
          </w:p>
        </w:tc>
        <w:tc>
          <w:tcPr>
            <w:tcW w:w="1818" w:type="dxa"/>
            <w:tcBorders>
              <w:top w:val="nil"/>
              <w:left w:val="nil"/>
              <w:bottom w:val="single" w:sz="8" w:space="0" w:color="auto"/>
              <w:right w:val="single" w:sz="8" w:space="0" w:color="auto"/>
            </w:tcBorders>
            <w:shd w:val="clear" w:color="auto" w:fill="auto"/>
            <w:vAlign w:val="center"/>
          </w:tcPr>
          <w:p w14:paraId="37ECA6D4" w14:textId="77777777" w:rsidR="00EF055A" w:rsidRPr="00231A8F" w:rsidRDefault="00EF055A" w:rsidP="00EF055A">
            <w:pPr>
              <w:spacing w:after="0" w:line="240" w:lineRule="auto"/>
              <w:jc w:val="right"/>
              <w:rPr>
                <w:rFonts w:cs="Arial"/>
                <w:color w:val="000000"/>
                <w:szCs w:val="24"/>
                <w:lang w:eastAsia="en-GB"/>
              </w:rPr>
            </w:pPr>
            <w:r w:rsidRPr="00231A8F">
              <w:rPr>
                <w:rFonts w:cs="Arial"/>
                <w:color w:val="000000"/>
                <w:szCs w:val="24"/>
                <w:lang w:eastAsia="en-GB"/>
              </w:rPr>
              <w:t>5.518</w:t>
            </w:r>
          </w:p>
        </w:tc>
        <w:tc>
          <w:tcPr>
            <w:tcW w:w="1818" w:type="dxa"/>
            <w:tcBorders>
              <w:top w:val="nil"/>
              <w:left w:val="nil"/>
              <w:bottom w:val="single" w:sz="8" w:space="0" w:color="auto"/>
              <w:right w:val="single" w:sz="8" w:space="0" w:color="auto"/>
            </w:tcBorders>
            <w:shd w:val="clear" w:color="auto" w:fill="auto"/>
            <w:vAlign w:val="center"/>
          </w:tcPr>
          <w:p w14:paraId="0CC8DEB2" w14:textId="77777777" w:rsidR="00EF055A" w:rsidRPr="00231A8F" w:rsidRDefault="00EF055A" w:rsidP="00EF055A">
            <w:pPr>
              <w:spacing w:after="0" w:line="240" w:lineRule="auto"/>
              <w:jc w:val="right"/>
              <w:rPr>
                <w:rFonts w:cs="Arial"/>
                <w:color w:val="000000"/>
                <w:szCs w:val="24"/>
                <w:lang w:eastAsia="en-GB"/>
              </w:rPr>
            </w:pPr>
            <w:r w:rsidRPr="00231A8F">
              <w:rPr>
                <w:rFonts w:cs="Arial"/>
                <w:color w:val="000000"/>
                <w:szCs w:val="24"/>
                <w:lang w:eastAsia="en-GB"/>
              </w:rPr>
              <w:t>5.518</w:t>
            </w:r>
          </w:p>
        </w:tc>
      </w:tr>
      <w:tr w:rsidR="009C2438" w14:paraId="7D7085E7" w14:textId="77777777" w:rsidTr="00EF055A">
        <w:trPr>
          <w:trHeight w:val="405"/>
        </w:trPr>
        <w:tc>
          <w:tcPr>
            <w:tcW w:w="2623" w:type="dxa"/>
            <w:tcBorders>
              <w:top w:val="nil"/>
              <w:left w:val="single" w:sz="8" w:space="0" w:color="auto"/>
              <w:bottom w:val="single" w:sz="8" w:space="0" w:color="auto"/>
              <w:right w:val="single" w:sz="8" w:space="0" w:color="auto"/>
            </w:tcBorders>
            <w:shd w:val="clear" w:color="auto" w:fill="auto"/>
            <w:vAlign w:val="center"/>
          </w:tcPr>
          <w:p w14:paraId="4ADD067D" w14:textId="77777777" w:rsidR="00EF055A" w:rsidRPr="00231A8F" w:rsidRDefault="00EF055A" w:rsidP="00EF055A">
            <w:pPr>
              <w:spacing w:after="0" w:line="240" w:lineRule="auto"/>
              <w:rPr>
                <w:rFonts w:cs="Arial"/>
                <w:b/>
                <w:bCs/>
                <w:color w:val="000000"/>
                <w:szCs w:val="24"/>
                <w:lang w:eastAsia="en-GB"/>
              </w:rPr>
            </w:pPr>
            <w:r w:rsidRPr="00231A8F">
              <w:rPr>
                <w:rFonts w:cs="Arial"/>
                <w:b/>
                <w:bCs/>
                <w:color w:val="000000"/>
                <w:szCs w:val="24"/>
                <w:lang w:eastAsia="en-GB"/>
              </w:rPr>
              <w:t>2022/23 (£m)</w:t>
            </w:r>
          </w:p>
        </w:tc>
        <w:tc>
          <w:tcPr>
            <w:tcW w:w="1685" w:type="dxa"/>
            <w:tcBorders>
              <w:top w:val="nil"/>
              <w:left w:val="nil"/>
              <w:bottom w:val="single" w:sz="8" w:space="0" w:color="auto"/>
              <w:right w:val="single" w:sz="8" w:space="0" w:color="auto"/>
            </w:tcBorders>
            <w:shd w:val="clear" w:color="auto" w:fill="auto"/>
            <w:vAlign w:val="center"/>
          </w:tcPr>
          <w:p w14:paraId="1C4EBD8F" w14:textId="77777777" w:rsidR="00EF055A" w:rsidRPr="00231A8F" w:rsidRDefault="00EF055A" w:rsidP="00EF055A">
            <w:pPr>
              <w:spacing w:after="0" w:line="240" w:lineRule="auto"/>
              <w:jc w:val="right"/>
              <w:rPr>
                <w:rFonts w:cs="Arial"/>
                <w:color w:val="000000"/>
                <w:szCs w:val="24"/>
                <w:lang w:eastAsia="en-GB"/>
              </w:rPr>
            </w:pPr>
          </w:p>
        </w:tc>
        <w:tc>
          <w:tcPr>
            <w:tcW w:w="1685" w:type="dxa"/>
            <w:tcBorders>
              <w:top w:val="nil"/>
              <w:left w:val="nil"/>
              <w:bottom w:val="single" w:sz="8" w:space="0" w:color="auto"/>
              <w:right w:val="single" w:sz="8" w:space="0" w:color="auto"/>
            </w:tcBorders>
            <w:shd w:val="clear" w:color="auto" w:fill="auto"/>
            <w:vAlign w:val="center"/>
          </w:tcPr>
          <w:p w14:paraId="13CAC9C1" w14:textId="77777777" w:rsidR="00EF055A" w:rsidRPr="00231A8F" w:rsidRDefault="00EF055A" w:rsidP="00EF055A">
            <w:pPr>
              <w:spacing w:after="0" w:line="240" w:lineRule="auto"/>
              <w:jc w:val="right"/>
              <w:rPr>
                <w:rFonts w:cs="Arial"/>
                <w:color w:val="000000"/>
                <w:szCs w:val="24"/>
                <w:lang w:eastAsia="en-GB"/>
              </w:rPr>
            </w:pPr>
          </w:p>
        </w:tc>
        <w:tc>
          <w:tcPr>
            <w:tcW w:w="1818" w:type="dxa"/>
            <w:tcBorders>
              <w:top w:val="nil"/>
              <w:left w:val="nil"/>
              <w:bottom w:val="single" w:sz="8" w:space="0" w:color="auto"/>
              <w:right w:val="single" w:sz="8" w:space="0" w:color="auto"/>
            </w:tcBorders>
            <w:shd w:val="clear" w:color="auto" w:fill="auto"/>
            <w:vAlign w:val="center"/>
          </w:tcPr>
          <w:p w14:paraId="65AAAA6E" w14:textId="77777777" w:rsidR="00EF055A" w:rsidRPr="00231A8F" w:rsidRDefault="00EF055A" w:rsidP="00EF055A">
            <w:pPr>
              <w:spacing w:after="0" w:line="240" w:lineRule="auto"/>
              <w:jc w:val="right"/>
              <w:rPr>
                <w:rFonts w:cs="Arial"/>
                <w:color w:val="000000"/>
                <w:szCs w:val="24"/>
                <w:lang w:eastAsia="en-GB"/>
              </w:rPr>
            </w:pPr>
          </w:p>
        </w:tc>
        <w:tc>
          <w:tcPr>
            <w:tcW w:w="1818" w:type="dxa"/>
            <w:tcBorders>
              <w:top w:val="nil"/>
              <w:left w:val="nil"/>
              <w:bottom w:val="single" w:sz="8" w:space="0" w:color="auto"/>
              <w:right w:val="single" w:sz="8" w:space="0" w:color="auto"/>
            </w:tcBorders>
            <w:shd w:val="clear" w:color="auto" w:fill="auto"/>
            <w:vAlign w:val="center"/>
          </w:tcPr>
          <w:p w14:paraId="5F593C70" w14:textId="77777777" w:rsidR="00EF055A" w:rsidRPr="00231A8F" w:rsidRDefault="00EF055A" w:rsidP="00EF055A">
            <w:pPr>
              <w:spacing w:after="0" w:line="240" w:lineRule="auto"/>
              <w:jc w:val="right"/>
              <w:rPr>
                <w:rFonts w:cs="Arial"/>
                <w:color w:val="000000"/>
                <w:szCs w:val="24"/>
                <w:lang w:eastAsia="en-GB"/>
              </w:rPr>
            </w:pPr>
            <w:r w:rsidRPr="00231A8F">
              <w:rPr>
                <w:rFonts w:cs="Arial"/>
                <w:color w:val="000000"/>
                <w:szCs w:val="24"/>
                <w:lang w:eastAsia="en-GB"/>
              </w:rPr>
              <w:t>11.438</w:t>
            </w:r>
          </w:p>
        </w:tc>
      </w:tr>
      <w:tr w:rsidR="009C2438" w14:paraId="544A625B" w14:textId="77777777" w:rsidTr="00EF055A">
        <w:trPr>
          <w:trHeight w:val="330"/>
        </w:trPr>
        <w:tc>
          <w:tcPr>
            <w:tcW w:w="2623" w:type="dxa"/>
            <w:tcBorders>
              <w:top w:val="nil"/>
              <w:left w:val="single" w:sz="8" w:space="0" w:color="auto"/>
              <w:bottom w:val="single" w:sz="8" w:space="0" w:color="auto"/>
              <w:right w:val="single" w:sz="8" w:space="0" w:color="auto"/>
            </w:tcBorders>
            <w:shd w:val="clear" w:color="000000" w:fill="BFBFBF"/>
            <w:vAlign w:val="center"/>
            <w:hideMark/>
          </w:tcPr>
          <w:p w14:paraId="60CDDA5D" w14:textId="77777777" w:rsidR="00EF055A" w:rsidRPr="00231A8F" w:rsidRDefault="00EF055A" w:rsidP="00EF055A">
            <w:pPr>
              <w:spacing w:after="0" w:line="240" w:lineRule="auto"/>
              <w:rPr>
                <w:rFonts w:cs="Arial"/>
                <w:b/>
                <w:bCs/>
                <w:color w:val="000000"/>
                <w:szCs w:val="24"/>
                <w:lang w:eastAsia="en-GB"/>
              </w:rPr>
            </w:pPr>
            <w:r w:rsidRPr="00231A8F">
              <w:rPr>
                <w:rFonts w:cs="Arial"/>
                <w:b/>
                <w:bCs/>
                <w:color w:val="000000"/>
                <w:szCs w:val="24"/>
                <w:lang w:eastAsia="en-GB"/>
              </w:rPr>
              <w:t xml:space="preserve">Total </w:t>
            </w:r>
          </w:p>
        </w:tc>
        <w:tc>
          <w:tcPr>
            <w:tcW w:w="1685" w:type="dxa"/>
            <w:tcBorders>
              <w:top w:val="nil"/>
              <w:left w:val="nil"/>
              <w:bottom w:val="single" w:sz="8" w:space="0" w:color="auto"/>
              <w:right w:val="single" w:sz="8" w:space="0" w:color="auto"/>
            </w:tcBorders>
            <w:shd w:val="clear" w:color="000000" w:fill="BFBFBF"/>
            <w:vAlign w:val="center"/>
          </w:tcPr>
          <w:p w14:paraId="543F0DE8" w14:textId="77777777" w:rsidR="00EF055A" w:rsidRPr="00231A8F" w:rsidRDefault="00EF055A" w:rsidP="00EF055A">
            <w:pPr>
              <w:spacing w:after="0" w:line="240" w:lineRule="auto"/>
              <w:jc w:val="right"/>
              <w:rPr>
                <w:rFonts w:cs="Arial"/>
                <w:b/>
                <w:bCs/>
                <w:color w:val="000000"/>
                <w:szCs w:val="24"/>
                <w:lang w:eastAsia="en-GB"/>
              </w:rPr>
            </w:pPr>
            <w:r w:rsidRPr="00231A8F">
              <w:rPr>
                <w:rFonts w:cs="Arial"/>
                <w:b/>
                <w:bCs/>
                <w:color w:val="000000"/>
                <w:szCs w:val="24"/>
                <w:lang w:eastAsia="en-GB"/>
              </w:rPr>
              <w:t>10.245</w:t>
            </w:r>
          </w:p>
        </w:tc>
        <w:tc>
          <w:tcPr>
            <w:tcW w:w="1685" w:type="dxa"/>
            <w:tcBorders>
              <w:top w:val="nil"/>
              <w:left w:val="nil"/>
              <w:bottom w:val="single" w:sz="8" w:space="0" w:color="auto"/>
              <w:right w:val="single" w:sz="8" w:space="0" w:color="auto"/>
            </w:tcBorders>
            <w:shd w:val="clear" w:color="000000" w:fill="BFBFBF"/>
            <w:vAlign w:val="center"/>
          </w:tcPr>
          <w:p w14:paraId="12055B3F" w14:textId="77777777" w:rsidR="00EF055A" w:rsidRPr="00231A8F" w:rsidRDefault="00EF055A" w:rsidP="00EF055A">
            <w:pPr>
              <w:spacing w:after="0" w:line="240" w:lineRule="auto"/>
              <w:jc w:val="right"/>
              <w:rPr>
                <w:rFonts w:cs="Arial"/>
                <w:b/>
                <w:bCs/>
                <w:color w:val="000000"/>
                <w:szCs w:val="24"/>
                <w:lang w:eastAsia="en-GB"/>
              </w:rPr>
            </w:pPr>
            <w:r w:rsidRPr="00231A8F">
              <w:rPr>
                <w:rFonts w:cs="Arial"/>
                <w:b/>
                <w:bCs/>
                <w:color w:val="000000"/>
                <w:szCs w:val="24"/>
                <w:lang w:eastAsia="en-GB"/>
              </w:rPr>
              <w:t>30.370</w:t>
            </w:r>
          </w:p>
        </w:tc>
        <w:tc>
          <w:tcPr>
            <w:tcW w:w="1818" w:type="dxa"/>
            <w:tcBorders>
              <w:top w:val="nil"/>
              <w:left w:val="nil"/>
              <w:bottom w:val="single" w:sz="8" w:space="0" w:color="auto"/>
              <w:right w:val="single" w:sz="8" w:space="0" w:color="auto"/>
            </w:tcBorders>
            <w:shd w:val="clear" w:color="000000" w:fill="BFBFBF"/>
            <w:vAlign w:val="center"/>
          </w:tcPr>
          <w:p w14:paraId="728A2AD1" w14:textId="77777777" w:rsidR="00EF055A" w:rsidRPr="00231A8F" w:rsidRDefault="00EF055A" w:rsidP="00EF055A">
            <w:pPr>
              <w:spacing w:after="0" w:line="240" w:lineRule="auto"/>
              <w:jc w:val="right"/>
              <w:rPr>
                <w:rFonts w:cs="Arial"/>
                <w:b/>
                <w:bCs/>
                <w:color w:val="000000"/>
                <w:szCs w:val="24"/>
                <w:lang w:eastAsia="en-GB"/>
              </w:rPr>
            </w:pPr>
            <w:r w:rsidRPr="00231A8F">
              <w:rPr>
                <w:rFonts w:cs="Arial"/>
                <w:b/>
                <w:bCs/>
                <w:color w:val="000000"/>
                <w:szCs w:val="24"/>
                <w:lang w:eastAsia="en-GB"/>
              </w:rPr>
              <w:t>35.888</w:t>
            </w:r>
          </w:p>
        </w:tc>
        <w:tc>
          <w:tcPr>
            <w:tcW w:w="1818" w:type="dxa"/>
            <w:tcBorders>
              <w:top w:val="nil"/>
              <w:left w:val="nil"/>
              <w:bottom w:val="single" w:sz="8" w:space="0" w:color="auto"/>
              <w:right w:val="single" w:sz="8" w:space="0" w:color="auto"/>
            </w:tcBorders>
            <w:shd w:val="clear" w:color="000000" w:fill="BFBFBF"/>
            <w:vAlign w:val="center"/>
          </w:tcPr>
          <w:p w14:paraId="39999733" w14:textId="77777777" w:rsidR="00EF055A" w:rsidRPr="00231A8F" w:rsidRDefault="00EF055A" w:rsidP="00EF055A">
            <w:pPr>
              <w:spacing w:after="0" w:line="240" w:lineRule="auto"/>
              <w:jc w:val="right"/>
              <w:rPr>
                <w:rFonts w:cs="Arial"/>
                <w:b/>
                <w:bCs/>
                <w:color w:val="000000"/>
                <w:szCs w:val="24"/>
                <w:lang w:eastAsia="en-GB"/>
              </w:rPr>
            </w:pPr>
            <w:r w:rsidRPr="00231A8F">
              <w:rPr>
                <w:rFonts w:cs="Arial"/>
                <w:b/>
                <w:bCs/>
                <w:color w:val="000000"/>
                <w:szCs w:val="24"/>
                <w:lang w:eastAsia="en-GB"/>
              </w:rPr>
              <w:t>47.326</w:t>
            </w:r>
          </w:p>
        </w:tc>
      </w:tr>
    </w:tbl>
    <w:p w14:paraId="44AC2D4D" w14:textId="77777777" w:rsidR="00EF055A" w:rsidRPr="007A60AF" w:rsidRDefault="00EF055A" w:rsidP="00EF055A">
      <w:pPr>
        <w:spacing w:after="0"/>
        <w:jc w:val="both"/>
        <w:rPr>
          <w:rFonts w:cs="Arial"/>
          <w:b/>
          <w:szCs w:val="24"/>
          <w:highlight w:val="yellow"/>
          <w:u w:val="single"/>
        </w:rPr>
      </w:pPr>
    </w:p>
    <w:p w14:paraId="1C52C090" w14:textId="77777777" w:rsidR="00EF055A" w:rsidRPr="00AA1970" w:rsidRDefault="00EF055A" w:rsidP="00EF055A">
      <w:pPr>
        <w:spacing w:after="0"/>
        <w:jc w:val="both"/>
        <w:rPr>
          <w:rFonts w:cs="Arial"/>
          <w:szCs w:val="24"/>
        </w:rPr>
      </w:pPr>
      <w:r w:rsidRPr="00AA1970">
        <w:rPr>
          <w:rFonts w:cs="Arial"/>
          <w:szCs w:val="24"/>
        </w:rPr>
        <w:t xml:space="preserve">During 2019/20 cabinet has received a number of MTFS reports that have identified further changes to the expected level of spending and in the anticipated level of resources available for that period including an additional year of 2023/24. The latest MTFS shows a revised spending gap of </w:t>
      </w:r>
      <w:r w:rsidRPr="004806C0">
        <w:rPr>
          <w:rFonts w:cs="Arial"/>
          <w:szCs w:val="24"/>
        </w:rPr>
        <w:t>£33.</w:t>
      </w:r>
      <w:r>
        <w:rPr>
          <w:rFonts w:cs="Arial"/>
          <w:szCs w:val="24"/>
        </w:rPr>
        <w:t>299</w:t>
      </w:r>
      <w:r w:rsidRPr="004806C0">
        <w:rPr>
          <w:rFonts w:cs="Arial"/>
          <w:szCs w:val="24"/>
        </w:rPr>
        <w:t xml:space="preserve">m. </w:t>
      </w:r>
      <w:r w:rsidRPr="00AA1970">
        <w:rPr>
          <w:rFonts w:cs="Arial"/>
          <w:szCs w:val="24"/>
        </w:rPr>
        <w:t>The profile of the funding gap is shown in table 2:</w:t>
      </w:r>
    </w:p>
    <w:p w14:paraId="2DB202C5" w14:textId="77777777" w:rsidR="00EF055A" w:rsidRPr="007A60AF" w:rsidRDefault="00EF055A" w:rsidP="00EF055A">
      <w:pPr>
        <w:spacing w:after="0"/>
        <w:jc w:val="both"/>
        <w:rPr>
          <w:rFonts w:cs="Arial"/>
          <w:szCs w:val="24"/>
          <w:highlight w:val="yellow"/>
        </w:rPr>
      </w:pPr>
    </w:p>
    <w:p w14:paraId="21210AB9" w14:textId="77777777" w:rsidR="00EF055A" w:rsidRPr="00AA1970" w:rsidRDefault="00EF055A" w:rsidP="00EF055A">
      <w:pPr>
        <w:spacing w:after="0"/>
        <w:jc w:val="both"/>
        <w:rPr>
          <w:rFonts w:cs="Arial"/>
          <w:b/>
          <w:szCs w:val="24"/>
          <w:u w:val="single"/>
        </w:rPr>
      </w:pPr>
      <w:r w:rsidRPr="00AA1970">
        <w:rPr>
          <w:rFonts w:cs="Arial"/>
          <w:b/>
          <w:szCs w:val="24"/>
          <w:u w:val="single"/>
        </w:rPr>
        <w:t>Table 2</w:t>
      </w:r>
    </w:p>
    <w:p w14:paraId="0BA515CE" w14:textId="77777777" w:rsidR="00EF055A" w:rsidRPr="007A60AF" w:rsidRDefault="00EF055A" w:rsidP="00EF055A">
      <w:pPr>
        <w:spacing w:after="0"/>
        <w:jc w:val="both"/>
        <w:rPr>
          <w:rFonts w:cs="Arial"/>
          <w:b/>
          <w:szCs w:val="24"/>
          <w:highlight w:val="yellow"/>
          <w:u w:val="single"/>
        </w:rPr>
      </w:pPr>
    </w:p>
    <w:tbl>
      <w:tblPr>
        <w:tblW w:w="9062" w:type="dxa"/>
        <w:tblLook w:val="04A0" w:firstRow="1" w:lastRow="0" w:firstColumn="1" w:lastColumn="0" w:noHBand="0" w:noVBand="1"/>
      </w:tblPr>
      <w:tblGrid>
        <w:gridCol w:w="4243"/>
        <w:gridCol w:w="1151"/>
        <w:gridCol w:w="1151"/>
        <w:gridCol w:w="1151"/>
        <w:gridCol w:w="1366"/>
      </w:tblGrid>
      <w:tr w:rsidR="009C2438" w14:paraId="2C7DF603" w14:textId="77777777" w:rsidTr="00EF055A">
        <w:trPr>
          <w:trHeight w:val="480"/>
        </w:trPr>
        <w:tc>
          <w:tcPr>
            <w:tcW w:w="460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74234F6" w14:textId="77777777" w:rsidR="00EF055A" w:rsidRPr="00AA1970" w:rsidRDefault="00EF055A" w:rsidP="00EF055A">
            <w:pPr>
              <w:spacing w:after="0" w:line="240" w:lineRule="auto"/>
              <w:rPr>
                <w:rFonts w:cs="Arial"/>
                <w:b/>
                <w:bCs/>
                <w:color w:val="000000"/>
                <w:szCs w:val="24"/>
                <w:lang w:eastAsia="en-GB"/>
              </w:rPr>
            </w:pPr>
            <w:r w:rsidRPr="00AA1970">
              <w:rPr>
                <w:rFonts w:cs="Arial"/>
                <w:b/>
                <w:bCs/>
                <w:color w:val="000000"/>
                <w:szCs w:val="24"/>
                <w:lang w:eastAsia="en-GB"/>
              </w:rPr>
              <w:t>Aggregated Funding Gap</w:t>
            </w:r>
          </w:p>
        </w:tc>
        <w:tc>
          <w:tcPr>
            <w:tcW w:w="1019" w:type="dxa"/>
            <w:tcBorders>
              <w:top w:val="single" w:sz="8" w:space="0" w:color="auto"/>
              <w:left w:val="nil"/>
              <w:bottom w:val="single" w:sz="8" w:space="0" w:color="auto"/>
              <w:right w:val="single" w:sz="8" w:space="0" w:color="auto"/>
            </w:tcBorders>
            <w:shd w:val="clear" w:color="000000" w:fill="BFBFBF"/>
            <w:vAlign w:val="center"/>
            <w:hideMark/>
          </w:tcPr>
          <w:p w14:paraId="21F692E4" w14:textId="77777777" w:rsidR="00EF055A" w:rsidRPr="00AA1970" w:rsidRDefault="00EF055A" w:rsidP="00EF055A">
            <w:pPr>
              <w:spacing w:after="0" w:line="240" w:lineRule="auto"/>
              <w:jc w:val="right"/>
              <w:rPr>
                <w:rFonts w:cs="Arial"/>
                <w:b/>
                <w:bCs/>
                <w:color w:val="000000"/>
                <w:szCs w:val="24"/>
                <w:lang w:eastAsia="en-GB"/>
              </w:rPr>
            </w:pPr>
            <w:r>
              <w:rPr>
                <w:rFonts w:cs="Arial"/>
                <w:b/>
                <w:bCs/>
                <w:color w:val="000000"/>
                <w:szCs w:val="24"/>
                <w:lang w:eastAsia="en-GB"/>
              </w:rPr>
              <w:t>2020/21</w:t>
            </w:r>
            <w:r w:rsidRPr="00AA1970">
              <w:rPr>
                <w:rFonts w:cs="Arial"/>
                <w:b/>
                <w:bCs/>
                <w:color w:val="000000"/>
                <w:szCs w:val="24"/>
                <w:lang w:eastAsia="en-GB"/>
              </w:rPr>
              <w:t> </w:t>
            </w:r>
          </w:p>
        </w:tc>
        <w:tc>
          <w:tcPr>
            <w:tcW w:w="1020" w:type="dxa"/>
            <w:tcBorders>
              <w:top w:val="single" w:sz="8" w:space="0" w:color="auto"/>
              <w:left w:val="nil"/>
              <w:bottom w:val="single" w:sz="8" w:space="0" w:color="auto"/>
              <w:right w:val="single" w:sz="8" w:space="0" w:color="auto"/>
            </w:tcBorders>
            <w:shd w:val="clear" w:color="000000" w:fill="BFBFBF"/>
            <w:vAlign w:val="center"/>
            <w:hideMark/>
          </w:tcPr>
          <w:p w14:paraId="0B6E0049" w14:textId="77777777" w:rsidR="00EF055A" w:rsidRPr="00AA1970" w:rsidRDefault="00EF055A" w:rsidP="00EF055A">
            <w:pPr>
              <w:spacing w:after="0" w:line="240" w:lineRule="auto"/>
              <w:jc w:val="right"/>
              <w:rPr>
                <w:rFonts w:cs="Arial"/>
                <w:b/>
                <w:bCs/>
                <w:color w:val="000000"/>
                <w:szCs w:val="24"/>
                <w:lang w:eastAsia="en-GB"/>
              </w:rPr>
            </w:pPr>
            <w:r>
              <w:rPr>
                <w:rFonts w:cs="Arial"/>
                <w:b/>
                <w:bCs/>
                <w:color w:val="000000"/>
                <w:szCs w:val="24"/>
                <w:lang w:eastAsia="en-GB"/>
              </w:rPr>
              <w:t>2021/22</w:t>
            </w:r>
            <w:r w:rsidRPr="00AA1970">
              <w:rPr>
                <w:rFonts w:cs="Arial"/>
                <w:b/>
                <w:bCs/>
                <w:color w:val="000000"/>
                <w:szCs w:val="24"/>
                <w:lang w:eastAsia="en-GB"/>
              </w:rPr>
              <w:t> </w:t>
            </w:r>
          </w:p>
        </w:tc>
        <w:tc>
          <w:tcPr>
            <w:tcW w:w="1026" w:type="dxa"/>
            <w:tcBorders>
              <w:top w:val="single" w:sz="8" w:space="0" w:color="auto"/>
              <w:left w:val="nil"/>
              <w:bottom w:val="single" w:sz="8" w:space="0" w:color="auto"/>
              <w:right w:val="single" w:sz="8" w:space="0" w:color="auto"/>
            </w:tcBorders>
            <w:shd w:val="clear" w:color="000000" w:fill="BFBFBF"/>
            <w:vAlign w:val="center"/>
            <w:hideMark/>
          </w:tcPr>
          <w:p w14:paraId="160DA0A0" w14:textId="77777777" w:rsidR="00EF055A" w:rsidRPr="00AA1970" w:rsidRDefault="00EF055A" w:rsidP="00EF055A">
            <w:pPr>
              <w:spacing w:after="0" w:line="240" w:lineRule="auto"/>
              <w:jc w:val="right"/>
              <w:rPr>
                <w:rFonts w:cs="Arial"/>
                <w:b/>
                <w:bCs/>
                <w:color w:val="000000"/>
                <w:szCs w:val="24"/>
                <w:lang w:eastAsia="en-GB"/>
              </w:rPr>
            </w:pPr>
            <w:r>
              <w:rPr>
                <w:rFonts w:cs="Arial"/>
                <w:b/>
                <w:bCs/>
                <w:color w:val="000000"/>
                <w:szCs w:val="24"/>
                <w:lang w:eastAsia="en-GB"/>
              </w:rPr>
              <w:t>2022/23</w:t>
            </w:r>
            <w:r w:rsidRPr="00AA1970">
              <w:rPr>
                <w:rFonts w:cs="Arial"/>
                <w:b/>
                <w:bCs/>
                <w:color w:val="000000"/>
                <w:szCs w:val="24"/>
                <w:lang w:eastAsia="en-GB"/>
              </w:rPr>
              <w:t> </w:t>
            </w:r>
          </w:p>
        </w:tc>
        <w:tc>
          <w:tcPr>
            <w:tcW w:w="1395" w:type="dxa"/>
            <w:tcBorders>
              <w:top w:val="single" w:sz="8" w:space="0" w:color="auto"/>
              <w:left w:val="nil"/>
              <w:bottom w:val="single" w:sz="8" w:space="0" w:color="auto"/>
              <w:right w:val="single" w:sz="8" w:space="0" w:color="auto"/>
            </w:tcBorders>
            <w:shd w:val="clear" w:color="000000" w:fill="BFBFBF"/>
            <w:vAlign w:val="center"/>
            <w:hideMark/>
          </w:tcPr>
          <w:p w14:paraId="23D7E521" w14:textId="77777777" w:rsidR="00EF055A" w:rsidRPr="00AA1970" w:rsidRDefault="00EF055A" w:rsidP="00EF055A">
            <w:pPr>
              <w:spacing w:after="0" w:line="240" w:lineRule="auto"/>
              <w:jc w:val="right"/>
              <w:rPr>
                <w:rFonts w:cs="Arial"/>
                <w:b/>
                <w:bCs/>
                <w:color w:val="000000"/>
                <w:szCs w:val="24"/>
                <w:lang w:eastAsia="en-GB"/>
              </w:rPr>
            </w:pPr>
            <w:r>
              <w:rPr>
                <w:rFonts w:cs="Arial"/>
                <w:b/>
                <w:bCs/>
                <w:color w:val="000000"/>
                <w:szCs w:val="24"/>
                <w:lang w:eastAsia="en-GB"/>
              </w:rPr>
              <w:t>2023/24</w:t>
            </w:r>
            <w:r w:rsidRPr="00AA1970">
              <w:rPr>
                <w:rFonts w:cs="Arial"/>
                <w:b/>
                <w:bCs/>
                <w:color w:val="000000"/>
                <w:szCs w:val="24"/>
                <w:lang w:eastAsia="en-GB"/>
              </w:rPr>
              <w:t> </w:t>
            </w:r>
          </w:p>
        </w:tc>
      </w:tr>
      <w:tr w:rsidR="009C2438" w14:paraId="71E94B4C" w14:textId="77777777" w:rsidTr="00EF055A">
        <w:trPr>
          <w:trHeight w:val="345"/>
        </w:trPr>
        <w:tc>
          <w:tcPr>
            <w:tcW w:w="4602" w:type="dxa"/>
            <w:tcBorders>
              <w:top w:val="nil"/>
              <w:left w:val="single" w:sz="8" w:space="0" w:color="auto"/>
              <w:bottom w:val="single" w:sz="8" w:space="0" w:color="auto"/>
              <w:right w:val="single" w:sz="8" w:space="0" w:color="auto"/>
            </w:tcBorders>
            <w:shd w:val="clear" w:color="auto" w:fill="auto"/>
            <w:vAlign w:val="center"/>
            <w:hideMark/>
          </w:tcPr>
          <w:p w14:paraId="77538E74" w14:textId="77777777" w:rsidR="00EF055A" w:rsidRPr="004806C0" w:rsidRDefault="00EF055A" w:rsidP="00EF055A">
            <w:pPr>
              <w:spacing w:after="0" w:line="240" w:lineRule="auto"/>
              <w:rPr>
                <w:rFonts w:cs="Arial"/>
                <w:b/>
                <w:bCs/>
                <w:color w:val="000000"/>
                <w:szCs w:val="24"/>
                <w:lang w:eastAsia="en-GB"/>
              </w:rPr>
            </w:pPr>
            <w:r w:rsidRPr="004806C0">
              <w:rPr>
                <w:rFonts w:cs="Arial"/>
                <w:b/>
                <w:bCs/>
                <w:color w:val="000000"/>
                <w:szCs w:val="24"/>
                <w:lang w:eastAsia="en-GB"/>
              </w:rPr>
              <w:t>2020/21 (£m)</w:t>
            </w:r>
          </w:p>
        </w:tc>
        <w:tc>
          <w:tcPr>
            <w:tcW w:w="1019" w:type="dxa"/>
            <w:tcBorders>
              <w:top w:val="nil"/>
              <w:left w:val="nil"/>
              <w:bottom w:val="single" w:sz="8" w:space="0" w:color="auto"/>
              <w:right w:val="single" w:sz="8" w:space="0" w:color="auto"/>
            </w:tcBorders>
            <w:shd w:val="clear" w:color="auto" w:fill="auto"/>
            <w:vAlign w:val="center"/>
            <w:hideMark/>
          </w:tcPr>
          <w:p w14:paraId="5B8CEF46" w14:textId="77777777" w:rsidR="00EF055A" w:rsidRPr="004806C0" w:rsidRDefault="00EF055A" w:rsidP="00EF055A">
            <w:pPr>
              <w:spacing w:after="0" w:line="240" w:lineRule="auto"/>
              <w:jc w:val="right"/>
              <w:rPr>
                <w:rFonts w:cs="Arial"/>
                <w:color w:val="000000"/>
                <w:szCs w:val="24"/>
                <w:lang w:eastAsia="en-GB"/>
              </w:rPr>
            </w:pPr>
            <w:r>
              <w:rPr>
                <w:rFonts w:cs="Arial"/>
                <w:color w:val="000000"/>
              </w:rPr>
              <w:t>-6.251</w:t>
            </w:r>
          </w:p>
        </w:tc>
        <w:tc>
          <w:tcPr>
            <w:tcW w:w="1020" w:type="dxa"/>
            <w:tcBorders>
              <w:top w:val="nil"/>
              <w:left w:val="nil"/>
              <w:bottom w:val="single" w:sz="8" w:space="0" w:color="auto"/>
              <w:right w:val="single" w:sz="8" w:space="0" w:color="auto"/>
            </w:tcBorders>
            <w:shd w:val="clear" w:color="auto" w:fill="auto"/>
            <w:vAlign w:val="center"/>
            <w:hideMark/>
          </w:tcPr>
          <w:p w14:paraId="48C44970" w14:textId="77777777" w:rsidR="00EF055A" w:rsidRPr="004806C0" w:rsidRDefault="00EF055A" w:rsidP="00EF055A">
            <w:pPr>
              <w:spacing w:after="0" w:line="240" w:lineRule="auto"/>
              <w:jc w:val="right"/>
              <w:rPr>
                <w:rFonts w:cs="Arial"/>
                <w:color w:val="000000"/>
                <w:szCs w:val="24"/>
                <w:lang w:eastAsia="en-GB"/>
              </w:rPr>
            </w:pPr>
            <w:r>
              <w:rPr>
                <w:rFonts w:cs="Arial"/>
                <w:color w:val="000000"/>
              </w:rPr>
              <w:t>-6.251</w:t>
            </w:r>
          </w:p>
        </w:tc>
        <w:tc>
          <w:tcPr>
            <w:tcW w:w="1026" w:type="dxa"/>
            <w:tcBorders>
              <w:top w:val="nil"/>
              <w:left w:val="nil"/>
              <w:bottom w:val="single" w:sz="8" w:space="0" w:color="auto"/>
              <w:right w:val="single" w:sz="8" w:space="0" w:color="auto"/>
            </w:tcBorders>
            <w:shd w:val="clear" w:color="auto" w:fill="auto"/>
            <w:vAlign w:val="center"/>
            <w:hideMark/>
          </w:tcPr>
          <w:p w14:paraId="2D4234F1" w14:textId="77777777" w:rsidR="00EF055A" w:rsidRPr="004806C0" w:rsidRDefault="00EF055A" w:rsidP="00EF055A">
            <w:pPr>
              <w:spacing w:after="0" w:line="240" w:lineRule="auto"/>
              <w:jc w:val="right"/>
              <w:rPr>
                <w:rFonts w:cs="Arial"/>
                <w:color w:val="000000"/>
                <w:szCs w:val="24"/>
                <w:lang w:eastAsia="en-GB"/>
              </w:rPr>
            </w:pPr>
            <w:r>
              <w:rPr>
                <w:rFonts w:cs="Arial"/>
                <w:color w:val="000000"/>
              </w:rPr>
              <w:t>-6.251</w:t>
            </w:r>
          </w:p>
        </w:tc>
        <w:tc>
          <w:tcPr>
            <w:tcW w:w="1395" w:type="dxa"/>
            <w:tcBorders>
              <w:top w:val="nil"/>
              <w:left w:val="nil"/>
              <w:bottom w:val="single" w:sz="8" w:space="0" w:color="auto"/>
              <w:right w:val="single" w:sz="8" w:space="0" w:color="auto"/>
            </w:tcBorders>
            <w:shd w:val="clear" w:color="auto" w:fill="auto"/>
            <w:vAlign w:val="center"/>
            <w:hideMark/>
          </w:tcPr>
          <w:p w14:paraId="5FF5C090" w14:textId="77777777" w:rsidR="00EF055A" w:rsidRPr="004806C0" w:rsidRDefault="00EF055A" w:rsidP="00EF055A">
            <w:pPr>
              <w:spacing w:after="0" w:line="240" w:lineRule="auto"/>
              <w:jc w:val="right"/>
              <w:rPr>
                <w:rFonts w:cs="Arial"/>
                <w:color w:val="000000"/>
                <w:szCs w:val="24"/>
                <w:lang w:eastAsia="en-GB"/>
              </w:rPr>
            </w:pPr>
            <w:r>
              <w:rPr>
                <w:rFonts w:cs="Arial"/>
                <w:color w:val="000000"/>
              </w:rPr>
              <w:t>-6.251</w:t>
            </w:r>
          </w:p>
        </w:tc>
      </w:tr>
      <w:tr w:rsidR="009C2438" w14:paraId="5C840D81" w14:textId="77777777" w:rsidTr="00EF055A">
        <w:trPr>
          <w:trHeight w:val="435"/>
        </w:trPr>
        <w:tc>
          <w:tcPr>
            <w:tcW w:w="4602" w:type="dxa"/>
            <w:tcBorders>
              <w:top w:val="nil"/>
              <w:left w:val="single" w:sz="8" w:space="0" w:color="auto"/>
              <w:bottom w:val="single" w:sz="8" w:space="0" w:color="auto"/>
              <w:right w:val="single" w:sz="8" w:space="0" w:color="auto"/>
            </w:tcBorders>
            <w:shd w:val="clear" w:color="auto" w:fill="auto"/>
            <w:vAlign w:val="center"/>
            <w:hideMark/>
          </w:tcPr>
          <w:p w14:paraId="1DFA8D89" w14:textId="77777777" w:rsidR="00EF055A" w:rsidRPr="004806C0" w:rsidRDefault="00EF055A" w:rsidP="00EF055A">
            <w:pPr>
              <w:spacing w:after="0" w:line="240" w:lineRule="auto"/>
              <w:rPr>
                <w:rFonts w:cs="Arial"/>
                <w:b/>
                <w:bCs/>
                <w:color w:val="000000"/>
                <w:szCs w:val="24"/>
                <w:lang w:eastAsia="en-GB"/>
              </w:rPr>
            </w:pPr>
            <w:r w:rsidRPr="004806C0">
              <w:rPr>
                <w:rFonts w:cs="Arial"/>
                <w:b/>
                <w:bCs/>
                <w:color w:val="000000"/>
                <w:szCs w:val="24"/>
                <w:lang w:eastAsia="en-GB"/>
              </w:rPr>
              <w:t>2021/22 (£m)</w:t>
            </w:r>
          </w:p>
        </w:tc>
        <w:tc>
          <w:tcPr>
            <w:tcW w:w="1019" w:type="dxa"/>
            <w:tcBorders>
              <w:top w:val="nil"/>
              <w:left w:val="nil"/>
              <w:bottom w:val="single" w:sz="8" w:space="0" w:color="auto"/>
              <w:right w:val="single" w:sz="8" w:space="0" w:color="auto"/>
            </w:tcBorders>
            <w:shd w:val="clear" w:color="auto" w:fill="auto"/>
            <w:vAlign w:val="center"/>
            <w:hideMark/>
          </w:tcPr>
          <w:p w14:paraId="30147C0A" w14:textId="77777777" w:rsidR="00EF055A" w:rsidRPr="004806C0" w:rsidRDefault="00EF055A" w:rsidP="00EF055A">
            <w:pPr>
              <w:spacing w:after="0" w:line="240" w:lineRule="auto"/>
              <w:jc w:val="right"/>
              <w:rPr>
                <w:rFonts w:cs="Arial"/>
                <w:color w:val="000000"/>
                <w:szCs w:val="24"/>
                <w:lang w:eastAsia="en-GB"/>
              </w:rPr>
            </w:pPr>
            <w:r>
              <w:rPr>
                <w:rFonts w:cs="Arial"/>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14:paraId="1CE7591C" w14:textId="77777777" w:rsidR="00EF055A" w:rsidRPr="004806C0" w:rsidRDefault="00EF055A" w:rsidP="00EF055A">
            <w:pPr>
              <w:spacing w:after="0" w:line="240" w:lineRule="auto"/>
              <w:jc w:val="right"/>
              <w:rPr>
                <w:rFonts w:cs="Arial"/>
                <w:color w:val="000000"/>
                <w:szCs w:val="24"/>
                <w:lang w:eastAsia="en-GB"/>
              </w:rPr>
            </w:pPr>
            <w:r>
              <w:rPr>
                <w:rFonts w:cs="Arial"/>
                <w:color w:val="000000"/>
              </w:rPr>
              <w:t>7.926</w:t>
            </w:r>
          </w:p>
        </w:tc>
        <w:tc>
          <w:tcPr>
            <w:tcW w:w="1026" w:type="dxa"/>
            <w:tcBorders>
              <w:top w:val="nil"/>
              <w:left w:val="nil"/>
              <w:bottom w:val="single" w:sz="8" w:space="0" w:color="auto"/>
              <w:right w:val="single" w:sz="8" w:space="0" w:color="auto"/>
            </w:tcBorders>
            <w:shd w:val="clear" w:color="auto" w:fill="auto"/>
            <w:vAlign w:val="center"/>
            <w:hideMark/>
          </w:tcPr>
          <w:p w14:paraId="725259F7" w14:textId="77777777" w:rsidR="00EF055A" w:rsidRPr="004806C0" w:rsidRDefault="00EF055A" w:rsidP="00EF055A">
            <w:pPr>
              <w:spacing w:after="0" w:line="240" w:lineRule="auto"/>
              <w:jc w:val="right"/>
              <w:rPr>
                <w:rFonts w:cs="Arial"/>
                <w:color w:val="000000"/>
                <w:szCs w:val="24"/>
                <w:lang w:eastAsia="en-GB"/>
              </w:rPr>
            </w:pPr>
            <w:r>
              <w:rPr>
                <w:rFonts w:cs="Arial"/>
                <w:color w:val="000000"/>
              </w:rPr>
              <w:t>7.926</w:t>
            </w:r>
          </w:p>
        </w:tc>
        <w:tc>
          <w:tcPr>
            <w:tcW w:w="1395" w:type="dxa"/>
            <w:tcBorders>
              <w:top w:val="nil"/>
              <w:left w:val="nil"/>
              <w:bottom w:val="single" w:sz="8" w:space="0" w:color="auto"/>
              <w:right w:val="single" w:sz="8" w:space="0" w:color="auto"/>
            </w:tcBorders>
            <w:shd w:val="clear" w:color="auto" w:fill="auto"/>
            <w:vAlign w:val="center"/>
            <w:hideMark/>
          </w:tcPr>
          <w:p w14:paraId="5C524DEB" w14:textId="77777777" w:rsidR="00EF055A" w:rsidRPr="004806C0" w:rsidRDefault="00EF055A" w:rsidP="00EF055A">
            <w:pPr>
              <w:spacing w:after="0" w:line="240" w:lineRule="auto"/>
              <w:jc w:val="right"/>
              <w:rPr>
                <w:rFonts w:cs="Arial"/>
                <w:color w:val="000000"/>
                <w:szCs w:val="24"/>
                <w:lang w:eastAsia="en-GB"/>
              </w:rPr>
            </w:pPr>
            <w:r>
              <w:rPr>
                <w:rFonts w:cs="Arial"/>
                <w:color w:val="000000"/>
              </w:rPr>
              <w:t>7.926</w:t>
            </w:r>
          </w:p>
        </w:tc>
      </w:tr>
      <w:tr w:rsidR="009C2438" w14:paraId="7AA2EE50" w14:textId="77777777" w:rsidTr="00EF055A">
        <w:trPr>
          <w:trHeight w:val="405"/>
        </w:trPr>
        <w:tc>
          <w:tcPr>
            <w:tcW w:w="4602" w:type="dxa"/>
            <w:tcBorders>
              <w:top w:val="nil"/>
              <w:left w:val="single" w:sz="8" w:space="0" w:color="auto"/>
              <w:bottom w:val="single" w:sz="8" w:space="0" w:color="auto"/>
              <w:right w:val="single" w:sz="8" w:space="0" w:color="auto"/>
            </w:tcBorders>
            <w:shd w:val="clear" w:color="auto" w:fill="auto"/>
            <w:vAlign w:val="center"/>
            <w:hideMark/>
          </w:tcPr>
          <w:p w14:paraId="51070599" w14:textId="77777777" w:rsidR="00EF055A" w:rsidRPr="004806C0" w:rsidRDefault="00EF055A" w:rsidP="00EF055A">
            <w:pPr>
              <w:spacing w:after="0" w:line="240" w:lineRule="auto"/>
              <w:rPr>
                <w:rFonts w:cs="Arial"/>
                <w:b/>
                <w:bCs/>
                <w:color w:val="000000"/>
                <w:szCs w:val="24"/>
                <w:lang w:eastAsia="en-GB"/>
              </w:rPr>
            </w:pPr>
            <w:r w:rsidRPr="004806C0">
              <w:rPr>
                <w:rFonts w:cs="Arial"/>
                <w:b/>
                <w:bCs/>
                <w:color w:val="000000"/>
                <w:szCs w:val="24"/>
                <w:lang w:eastAsia="en-GB"/>
              </w:rPr>
              <w:t>2022/23 (£m)</w:t>
            </w:r>
          </w:p>
        </w:tc>
        <w:tc>
          <w:tcPr>
            <w:tcW w:w="1019" w:type="dxa"/>
            <w:tcBorders>
              <w:top w:val="nil"/>
              <w:left w:val="nil"/>
              <w:bottom w:val="single" w:sz="8" w:space="0" w:color="auto"/>
              <w:right w:val="single" w:sz="8" w:space="0" w:color="auto"/>
            </w:tcBorders>
            <w:shd w:val="clear" w:color="auto" w:fill="auto"/>
            <w:vAlign w:val="center"/>
            <w:hideMark/>
          </w:tcPr>
          <w:p w14:paraId="156EA277" w14:textId="77777777" w:rsidR="00EF055A" w:rsidRPr="004806C0" w:rsidRDefault="00EF055A" w:rsidP="00EF055A">
            <w:pPr>
              <w:spacing w:after="0" w:line="240" w:lineRule="auto"/>
              <w:jc w:val="right"/>
              <w:rPr>
                <w:rFonts w:cs="Arial"/>
                <w:color w:val="000000"/>
                <w:szCs w:val="24"/>
                <w:lang w:eastAsia="en-GB"/>
              </w:rPr>
            </w:pPr>
            <w:r>
              <w:rPr>
                <w:rFonts w:cs="Arial"/>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14:paraId="505B6793" w14:textId="77777777" w:rsidR="00EF055A" w:rsidRPr="004806C0" w:rsidRDefault="00EF055A" w:rsidP="00EF055A">
            <w:pPr>
              <w:spacing w:after="0" w:line="240" w:lineRule="auto"/>
              <w:jc w:val="right"/>
              <w:rPr>
                <w:rFonts w:cs="Arial"/>
                <w:color w:val="000000"/>
                <w:szCs w:val="24"/>
                <w:lang w:eastAsia="en-GB"/>
              </w:rPr>
            </w:pPr>
            <w:r>
              <w:rPr>
                <w:rFonts w:cs="Arial"/>
                <w:color w:val="000000"/>
              </w:rPr>
              <w:t> </w:t>
            </w:r>
          </w:p>
        </w:tc>
        <w:tc>
          <w:tcPr>
            <w:tcW w:w="1026" w:type="dxa"/>
            <w:tcBorders>
              <w:top w:val="nil"/>
              <w:left w:val="nil"/>
              <w:bottom w:val="single" w:sz="8" w:space="0" w:color="auto"/>
              <w:right w:val="single" w:sz="8" w:space="0" w:color="auto"/>
            </w:tcBorders>
            <w:shd w:val="clear" w:color="auto" w:fill="auto"/>
            <w:vAlign w:val="center"/>
            <w:hideMark/>
          </w:tcPr>
          <w:p w14:paraId="5DA16305" w14:textId="77777777" w:rsidR="00EF055A" w:rsidRPr="007A60AF" w:rsidRDefault="00EF055A" w:rsidP="00EF055A">
            <w:pPr>
              <w:spacing w:after="0" w:line="240" w:lineRule="auto"/>
              <w:jc w:val="right"/>
              <w:rPr>
                <w:rFonts w:cs="Arial"/>
                <w:color w:val="000000"/>
                <w:szCs w:val="24"/>
                <w:highlight w:val="yellow"/>
                <w:lang w:eastAsia="en-GB"/>
              </w:rPr>
            </w:pPr>
            <w:r>
              <w:rPr>
                <w:rFonts w:cs="Arial"/>
                <w:color w:val="000000"/>
              </w:rPr>
              <w:t>13.548</w:t>
            </w:r>
          </w:p>
        </w:tc>
        <w:tc>
          <w:tcPr>
            <w:tcW w:w="1395" w:type="dxa"/>
            <w:tcBorders>
              <w:top w:val="nil"/>
              <w:left w:val="nil"/>
              <w:bottom w:val="single" w:sz="8" w:space="0" w:color="auto"/>
              <w:right w:val="single" w:sz="8" w:space="0" w:color="auto"/>
            </w:tcBorders>
            <w:shd w:val="clear" w:color="auto" w:fill="auto"/>
            <w:vAlign w:val="center"/>
            <w:hideMark/>
          </w:tcPr>
          <w:p w14:paraId="136090E2" w14:textId="77777777" w:rsidR="00EF055A" w:rsidRPr="007A60AF" w:rsidRDefault="00EF055A" w:rsidP="00EF055A">
            <w:pPr>
              <w:spacing w:after="0" w:line="240" w:lineRule="auto"/>
              <w:jc w:val="right"/>
              <w:rPr>
                <w:rFonts w:cs="Arial"/>
                <w:color w:val="000000"/>
                <w:szCs w:val="24"/>
                <w:highlight w:val="yellow"/>
                <w:lang w:eastAsia="en-GB"/>
              </w:rPr>
            </w:pPr>
            <w:r>
              <w:rPr>
                <w:rFonts w:cs="Arial"/>
                <w:color w:val="000000"/>
              </w:rPr>
              <w:t>13.548</w:t>
            </w:r>
          </w:p>
        </w:tc>
      </w:tr>
      <w:tr w:rsidR="009C2438" w14:paraId="5AAEE9F5" w14:textId="77777777" w:rsidTr="00EF055A">
        <w:trPr>
          <w:trHeight w:val="405"/>
        </w:trPr>
        <w:tc>
          <w:tcPr>
            <w:tcW w:w="4602" w:type="dxa"/>
            <w:tcBorders>
              <w:top w:val="nil"/>
              <w:left w:val="single" w:sz="8" w:space="0" w:color="auto"/>
              <w:bottom w:val="single" w:sz="8" w:space="0" w:color="auto"/>
              <w:right w:val="single" w:sz="8" w:space="0" w:color="auto"/>
            </w:tcBorders>
            <w:shd w:val="clear" w:color="auto" w:fill="auto"/>
            <w:vAlign w:val="center"/>
          </w:tcPr>
          <w:p w14:paraId="579D6673" w14:textId="77777777" w:rsidR="00EF055A" w:rsidRPr="004806C0" w:rsidRDefault="00EF055A" w:rsidP="00EF055A">
            <w:pPr>
              <w:spacing w:after="0" w:line="240" w:lineRule="auto"/>
              <w:rPr>
                <w:rFonts w:cs="Arial"/>
                <w:b/>
                <w:bCs/>
                <w:color w:val="000000"/>
                <w:szCs w:val="24"/>
                <w:lang w:eastAsia="en-GB"/>
              </w:rPr>
            </w:pPr>
            <w:r w:rsidRPr="004806C0">
              <w:rPr>
                <w:rFonts w:cs="Arial"/>
                <w:b/>
                <w:bCs/>
                <w:color w:val="000000"/>
                <w:szCs w:val="24"/>
                <w:lang w:eastAsia="en-GB"/>
              </w:rPr>
              <w:t>2023/24 (£m)</w:t>
            </w:r>
          </w:p>
        </w:tc>
        <w:tc>
          <w:tcPr>
            <w:tcW w:w="1019" w:type="dxa"/>
            <w:tcBorders>
              <w:top w:val="nil"/>
              <w:left w:val="nil"/>
              <w:bottom w:val="single" w:sz="8" w:space="0" w:color="auto"/>
              <w:right w:val="single" w:sz="8" w:space="0" w:color="auto"/>
            </w:tcBorders>
            <w:shd w:val="clear" w:color="auto" w:fill="auto"/>
            <w:vAlign w:val="center"/>
          </w:tcPr>
          <w:p w14:paraId="4C703F7D" w14:textId="77777777" w:rsidR="00EF055A" w:rsidRPr="007A60AF" w:rsidRDefault="00EF055A" w:rsidP="00EF055A">
            <w:pPr>
              <w:spacing w:after="0" w:line="240" w:lineRule="auto"/>
              <w:jc w:val="right"/>
              <w:rPr>
                <w:rFonts w:cs="Arial"/>
                <w:color w:val="000000"/>
                <w:szCs w:val="24"/>
                <w:highlight w:val="yellow"/>
                <w:lang w:eastAsia="en-GB"/>
              </w:rPr>
            </w:pPr>
            <w:r>
              <w:rPr>
                <w:rFonts w:cs="Arial"/>
                <w:color w:val="000000"/>
              </w:rPr>
              <w:t> </w:t>
            </w:r>
          </w:p>
        </w:tc>
        <w:tc>
          <w:tcPr>
            <w:tcW w:w="1020" w:type="dxa"/>
            <w:tcBorders>
              <w:top w:val="nil"/>
              <w:left w:val="nil"/>
              <w:bottom w:val="single" w:sz="8" w:space="0" w:color="auto"/>
              <w:right w:val="single" w:sz="8" w:space="0" w:color="auto"/>
            </w:tcBorders>
            <w:shd w:val="clear" w:color="auto" w:fill="auto"/>
            <w:vAlign w:val="center"/>
          </w:tcPr>
          <w:p w14:paraId="094085F7" w14:textId="77777777" w:rsidR="00EF055A" w:rsidRPr="007A60AF" w:rsidRDefault="00EF055A" w:rsidP="00EF055A">
            <w:pPr>
              <w:spacing w:after="0" w:line="240" w:lineRule="auto"/>
              <w:jc w:val="right"/>
              <w:rPr>
                <w:rFonts w:cs="Arial"/>
                <w:color w:val="000000"/>
                <w:szCs w:val="24"/>
                <w:highlight w:val="yellow"/>
                <w:lang w:eastAsia="en-GB"/>
              </w:rPr>
            </w:pPr>
            <w:r>
              <w:rPr>
                <w:rFonts w:cs="Arial"/>
                <w:color w:val="000000"/>
              </w:rPr>
              <w:t> </w:t>
            </w:r>
          </w:p>
        </w:tc>
        <w:tc>
          <w:tcPr>
            <w:tcW w:w="1026" w:type="dxa"/>
            <w:tcBorders>
              <w:top w:val="nil"/>
              <w:left w:val="nil"/>
              <w:bottom w:val="single" w:sz="8" w:space="0" w:color="auto"/>
              <w:right w:val="single" w:sz="8" w:space="0" w:color="auto"/>
            </w:tcBorders>
            <w:shd w:val="clear" w:color="auto" w:fill="auto"/>
            <w:vAlign w:val="center"/>
          </w:tcPr>
          <w:p w14:paraId="0B600942" w14:textId="77777777" w:rsidR="00EF055A" w:rsidRPr="007A60AF" w:rsidRDefault="00EF055A" w:rsidP="00EF055A">
            <w:pPr>
              <w:spacing w:after="0" w:line="240" w:lineRule="auto"/>
              <w:jc w:val="right"/>
              <w:rPr>
                <w:rFonts w:cs="Arial"/>
                <w:color w:val="000000"/>
                <w:szCs w:val="24"/>
                <w:highlight w:val="yellow"/>
                <w:lang w:eastAsia="en-GB"/>
              </w:rPr>
            </w:pPr>
            <w:r>
              <w:rPr>
                <w:rFonts w:cs="Arial"/>
                <w:color w:val="000000"/>
              </w:rPr>
              <w:t> </w:t>
            </w:r>
          </w:p>
        </w:tc>
        <w:tc>
          <w:tcPr>
            <w:tcW w:w="1395" w:type="dxa"/>
            <w:tcBorders>
              <w:top w:val="nil"/>
              <w:left w:val="nil"/>
              <w:bottom w:val="single" w:sz="8" w:space="0" w:color="auto"/>
              <w:right w:val="single" w:sz="8" w:space="0" w:color="auto"/>
            </w:tcBorders>
            <w:shd w:val="clear" w:color="auto" w:fill="auto"/>
            <w:vAlign w:val="center"/>
          </w:tcPr>
          <w:p w14:paraId="7E4FE91D" w14:textId="77777777" w:rsidR="00EF055A" w:rsidRPr="007A60AF" w:rsidRDefault="00EF055A" w:rsidP="00EF055A">
            <w:pPr>
              <w:spacing w:after="0" w:line="240" w:lineRule="auto"/>
              <w:jc w:val="right"/>
              <w:rPr>
                <w:rFonts w:cs="Arial"/>
                <w:color w:val="000000"/>
                <w:szCs w:val="24"/>
                <w:highlight w:val="yellow"/>
                <w:lang w:eastAsia="en-GB"/>
              </w:rPr>
            </w:pPr>
            <w:r>
              <w:rPr>
                <w:rFonts w:cs="Arial"/>
                <w:color w:val="000000"/>
              </w:rPr>
              <w:t>18.076</w:t>
            </w:r>
          </w:p>
        </w:tc>
      </w:tr>
      <w:tr w:rsidR="009C2438" w14:paraId="36D085AC" w14:textId="77777777" w:rsidTr="00EF055A">
        <w:trPr>
          <w:trHeight w:val="330"/>
        </w:trPr>
        <w:tc>
          <w:tcPr>
            <w:tcW w:w="4602" w:type="dxa"/>
            <w:tcBorders>
              <w:top w:val="nil"/>
              <w:left w:val="single" w:sz="8" w:space="0" w:color="auto"/>
              <w:bottom w:val="single" w:sz="8" w:space="0" w:color="auto"/>
              <w:right w:val="single" w:sz="8" w:space="0" w:color="auto"/>
            </w:tcBorders>
            <w:shd w:val="clear" w:color="000000" w:fill="BFBFBF"/>
            <w:vAlign w:val="center"/>
            <w:hideMark/>
          </w:tcPr>
          <w:p w14:paraId="03522F8E" w14:textId="77777777" w:rsidR="00EF055A" w:rsidRPr="007A60AF" w:rsidRDefault="00EF055A" w:rsidP="00EF055A">
            <w:pPr>
              <w:spacing w:after="0" w:line="240" w:lineRule="auto"/>
              <w:rPr>
                <w:rFonts w:cs="Arial"/>
                <w:b/>
                <w:bCs/>
                <w:color w:val="000000"/>
                <w:szCs w:val="24"/>
                <w:highlight w:val="yellow"/>
                <w:lang w:eastAsia="en-GB"/>
              </w:rPr>
            </w:pPr>
            <w:r w:rsidRPr="004806C0">
              <w:rPr>
                <w:rFonts w:cs="Arial"/>
                <w:b/>
                <w:bCs/>
                <w:color w:val="000000"/>
                <w:szCs w:val="24"/>
                <w:lang w:eastAsia="en-GB"/>
              </w:rPr>
              <w:t xml:space="preserve">Total </w:t>
            </w:r>
          </w:p>
        </w:tc>
        <w:tc>
          <w:tcPr>
            <w:tcW w:w="1019" w:type="dxa"/>
            <w:tcBorders>
              <w:top w:val="nil"/>
              <w:left w:val="nil"/>
              <w:bottom w:val="single" w:sz="8" w:space="0" w:color="auto"/>
              <w:right w:val="single" w:sz="8" w:space="0" w:color="auto"/>
            </w:tcBorders>
            <w:shd w:val="clear" w:color="000000" w:fill="BFBFBF"/>
            <w:vAlign w:val="center"/>
            <w:hideMark/>
          </w:tcPr>
          <w:p w14:paraId="02F6FC02" w14:textId="77777777" w:rsidR="00EF055A" w:rsidRPr="004806C0" w:rsidRDefault="00EF055A" w:rsidP="00EF055A">
            <w:pPr>
              <w:spacing w:after="0" w:line="240" w:lineRule="auto"/>
              <w:jc w:val="right"/>
              <w:rPr>
                <w:rFonts w:cs="Arial"/>
                <w:b/>
                <w:bCs/>
                <w:color w:val="000000"/>
                <w:szCs w:val="24"/>
                <w:lang w:eastAsia="en-GB"/>
              </w:rPr>
            </w:pPr>
            <w:r>
              <w:rPr>
                <w:rFonts w:cs="Arial"/>
                <w:b/>
                <w:bCs/>
                <w:color w:val="000000"/>
              </w:rPr>
              <w:t>-6.251</w:t>
            </w:r>
          </w:p>
        </w:tc>
        <w:tc>
          <w:tcPr>
            <w:tcW w:w="1020" w:type="dxa"/>
            <w:tcBorders>
              <w:top w:val="nil"/>
              <w:left w:val="nil"/>
              <w:bottom w:val="single" w:sz="8" w:space="0" w:color="auto"/>
              <w:right w:val="single" w:sz="8" w:space="0" w:color="auto"/>
            </w:tcBorders>
            <w:shd w:val="clear" w:color="000000" w:fill="BFBFBF"/>
            <w:vAlign w:val="center"/>
            <w:hideMark/>
          </w:tcPr>
          <w:p w14:paraId="582E8CA7" w14:textId="77777777" w:rsidR="00EF055A" w:rsidRPr="004806C0" w:rsidRDefault="00EF055A" w:rsidP="00EF055A">
            <w:pPr>
              <w:spacing w:after="0" w:line="240" w:lineRule="auto"/>
              <w:jc w:val="right"/>
              <w:rPr>
                <w:rFonts w:cs="Arial"/>
                <w:b/>
                <w:bCs/>
                <w:color w:val="000000"/>
                <w:szCs w:val="24"/>
                <w:lang w:eastAsia="en-GB"/>
              </w:rPr>
            </w:pPr>
            <w:r>
              <w:rPr>
                <w:rFonts w:cs="Arial"/>
                <w:b/>
                <w:bCs/>
                <w:color w:val="000000"/>
              </w:rPr>
              <w:t>1.675</w:t>
            </w:r>
          </w:p>
        </w:tc>
        <w:tc>
          <w:tcPr>
            <w:tcW w:w="1026" w:type="dxa"/>
            <w:tcBorders>
              <w:top w:val="nil"/>
              <w:left w:val="nil"/>
              <w:bottom w:val="single" w:sz="8" w:space="0" w:color="auto"/>
              <w:right w:val="single" w:sz="8" w:space="0" w:color="auto"/>
            </w:tcBorders>
            <w:shd w:val="clear" w:color="000000" w:fill="BFBFBF"/>
            <w:vAlign w:val="center"/>
            <w:hideMark/>
          </w:tcPr>
          <w:p w14:paraId="0CD6CECA" w14:textId="77777777" w:rsidR="00EF055A" w:rsidRPr="004806C0" w:rsidRDefault="00EF055A" w:rsidP="00EF055A">
            <w:pPr>
              <w:spacing w:after="0" w:line="240" w:lineRule="auto"/>
              <w:jc w:val="right"/>
              <w:rPr>
                <w:rFonts w:cs="Arial"/>
                <w:b/>
                <w:bCs/>
                <w:color w:val="000000"/>
                <w:szCs w:val="24"/>
                <w:lang w:eastAsia="en-GB"/>
              </w:rPr>
            </w:pPr>
            <w:r>
              <w:rPr>
                <w:rFonts w:cs="Arial"/>
                <w:b/>
                <w:bCs/>
                <w:color w:val="000000"/>
              </w:rPr>
              <w:t>15.223</w:t>
            </w:r>
          </w:p>
        </w:tc>
        <w:tc>
          <w:tcPr>
            <w:tcW w:w="1395" w:type="dxa"/>
            <w:tcBorders>
              <w:top w:val="nil"/>
              <w:left w:val="nil"/>
              <w:bottom w:val="single" w:sz="8" w:space="0" w:color="auto"/>
              <w:right w:val="single" w:sz="8" w:space="0" w:color="auto"/>
            </w:tcBorders>
            <w:shd w:val="clear" w:color="000000" w:fill="BFBFBF"/>
            <w:vAlign w:val="center"/>
            <w:hideMark/>
          </w:tcPr>
          <w:p w14:paraId="27C7CB57" w14:textId="77777777" w:rsidR="00EF055A" w:rsidRPr="004806C0" w:rsidRDefault="00EF055A" w:rsidP="00EF055A">
            <w:pPr>
              <w:spacing w:after="0" w:line="240" w:lineRule="auto"/>
              <w:jc w:val="right"/>
              <w:rPr>
                <w:rFonts w:cs="Arial"/>
                <w:b/>
                <w:bCs/>
                <w:color w:val="000000"/>
                <w:szCs w:val="24"/>
                <w:lang w:eastAsia="en-GB"/>
              </w:rPr>
            </w:pPr>
            <w:r>
              <w:rPr>
                <w:rFonts w:cs="Arial"/>
                <w:b/>
                <w:bCs/>
                <w:color w:val="000000"/>
              </w:rPr>
              <w:t>33.299</w:t>
            </w:r>
          </w:p>
        </w:tc>
      </w:tr>
    </w:tbl>
    <w:p w14:paraId="78A4F2BE" w14:textId="77777777" w:rsidR="00EF055A" w:rsidRPr="007A60AF" w:rsidRDefault="00EF055A" w:rsidP="00EF055A">
      <w:pPr>
        <w:spacing w:after="0"/>
        <w:jc w:val="both"/>
        <w:rPr>
          <w:rFonts w:cs="Arial"/>
          <w:b/>
          <w:szCs w:val="24"/>
          <w:highlight w:val="yellow"/>
          <w:u w:val="single"/>
        </w:rPr>
      </w:pPr>
    </w:p>
    <w:p w14:paraId="6B016C5D" w14:textId="77777777" w:rsidR="00EF055A" w:rsidRPr="007A60AF" w:rsidRDefault="00EF055A" w:rsidP="00EF055A">
      <w:pPr>
        <w:tabs>
          <w:tab w:val="left" w:pos="567"/>
          <w:tab w:val="left" w:pos="1134"/>
        </w:tabs>
        <w:spacing w:after="0"/>
        <w:jc w:val="both"/>
        <w:rPr>
          <w:rFonts w:cs="Arial"/>
          <w:highlight w:val="yellow"/>
        </w:rPr>
      </w:pPr>
      <w:r w:rsidRPr="00AA1970">
        <w:rPr>
          <w:rFonts w:cs="Arial"/>
        </w:rPr>
        <w:t xml:space="preserve">Although the financial gap has reduced, from </w:t>
      </w:r>
      <w:r w:rsidRPr="00FD332D">
        <w:rPr>
          <w:rFonts w:cs="Arial"/>
        </w:rPr>
        <w:t xml:space="preserve">the £47.326m </w:t>
      </w:r>
      <w:r w:rsidRPr="00AA1970">
        <w:rPr>
          <w:rFonts w:cs="Arial"/>
        </w:rPr>
        <w:t xml:space="preserve">reported last February, the county council's budget is still facing a challenging future with savings </w:t>
      </w:r>
      <w:r w:rsidRPr="00CA2974">
        <w:rPr>
          <w:rFonts w:cs="Arial"/>
        </w:rPr>
        <w:t>of £58m to</w:t>
      </w:r>
      <w:r w:rsidRPr="00AA1970">
        <w:rPr>
          <w:rFonts w:cs="Arial"/>
        </w:rPr>
        <w:t xml:space="preserve"> </w:t>
      </w:r>
      <w:r w:rsidRPr="00CA2974">
        <w:rPr>
          <w:rFonts w:cs="Arial"/>
        </w:rPr>
        <w:t xml:space="preserve">achieve as part of the 2020/21 budget and beyond, with significant additional pressures. These include the impact of the national pay award, national living wage and inflationary and demand pressures across children's social care and adult social care. </w:t>
      </w:r>
    </w:p>
    <w:p w14:paraId="30A72A0A" w14:textId="77777777" w:rsidR="00EF055A" w:rsidRPr="007A60AF" w:rsidRDefault="00EF055A" w:rsidP="00EF055A">
      <w:pPr>
        <w:spacing w:after="0"/>
        <w:jc w:val="both"/>
        <w:rPr>
          <w:rFonts w:cs="Arial"/>
          <w:b/>
          <w:szCs w:val="24"/>
          <w:highlight w:val="yellow"/>
        </w:rPr>
      </w:pPr>
    </w:p>
    <w:p w14:paraId="18049E06" w14:textId="77777777" w:rsidR="00EF055A" w:rsidRPr="007A60AF" w:rsidRDefault="00EF055A" w:rsidP="00EF055A">
      <w:pPr>
        <w:spacing w:after="0"/>
        <w:jc w:val="both"/>
        <w:rPr>
          <w:rFonts w:cs="Arial"/>
          <w:b/>
          <w:szCs w:val="24"/>
          <w:highlight w:val="yellow"/>
        </w:rPr>
      </w:pPr>
    </w:p>
    <w:p w14:paraId="042EFE3C" w14:textId="77777777" w:rsidR="00EF055A" w:rsidRPr="007A60AF" w:rsidRDefault="00EF055A" w:rsidP="00EF055A">
      <w:pPr>
        <w:spacing w:after="0"/>
        <w:jc w:val="both"/>
        <w:rPr>
          <w:rFonts w:cs="Arial"/>
          <w:b/>
          <w:szCs w:val="24"/>
          <w:highlight w:val="yellow"/>
        </w:rPr>
      </w:pPr>
    </w:p>
    <w:p w14:paraId="19DC042A" w14:textId="77777777" w:rsidR="00EF055A" w:rsidRPr="007A60AF" w:rsidRDefault="00EF055A" w:rsidP="00EF055A">
      <w:pPr>
        <w:spacing w:after="0"/>
        <w:jc w:val="both"/>
        <w:rPr>
          <w:rFonts w:cs="Arial"/>
          <w:b/>
          <w:szCs w:val="24"/>
          <w:highlight w:val="yellow"/>
        </w:rPr>
      </w:pPr>
    </w:p>
    <w:p w14:paraId="289873DC" w14:textId="77777777" w:rsidR="00EF055A" w:rsidRPr="007A60AF" w:rsidRDefault="00EF055A" w:rsidP="00EF055A">
      <w:pPr>
        <w:spacing w:after="0"/>
        <w:jc w:val="both"/>
        <w:rPr>
          <w:rFonts w:cs="Arial"/>
          <w:b/>
          <w:szCs w:val="24"/>
          <w:highlight w:val="yellow"/>
        </w:rPr>
      </w:pPr>
    </w:p>
    <w:p w14:paraId="7BA18607" w14:textId="77777777" w:rsidR="00EF055A" w:rsidRPr="007A60AF" w:rsidRDefault="00EF055A" w:rsidP="00EF055A">
      <w:pPr>
        <w:spacing w:after="0"/>
        <w:jc w:val="both"/>
        <w:rPr>
          <w:rFonts w:cs="Arial"/>
          <w:b/>
          <w:szCs w:val="24"/>
          <w:highlight w:val="yellow"/>
        </w:rPr>
      </w:pPr>
    </w:p>
    <w:p w14:paraId="7E9FA2D7" w14:textId="77777777" w:rsidR="00EF055A" w:rsidRPr="007A60AF" w:rsidRDefault="00EF055A" w:rsidP="00EF055A">
      <w:pPr>
        <w:spacing w:after="0"/>
        <w:jc w:val="both"/>
        <w:rPr>
          <w:rFonts w:cs="Arial"/>
          <w:b/>
          <w:szCs w:val="24"/>
          <w:highlight w:val="yellow"/>
        </w:rPr>
      </w:pPr>
    </w:p>
    <w:p w14:paraId="4D370C50" w14:textId="77777777" w:rsidR="00EF055A" w:rsidRPr="007A60AF" w:rsidRDefault="00EF055A" w:rsidP="00EF055A">
      <w:pPr>
        <w:spacing w:after="0"/>
        <w:jc w:val="both"/>
        <w:rPr>
          <w:rFonts w:cs="Arial"/>
          <w:b/>
          <w:szCs w:val="24"/>
          <w:highlight w:val="yellow"/>
        </w:rPr>
      </w:pPr>
    </w:p>
    <w:p w14:paraId="53E03CCB" w14:textId="77777777" w:rsidR="00EF055A" w:rsidRPr="007A60AF" w:rsidRDefault="00EF055A" w:rsidP="00EF055A">
      <w:pPr>
        <w:spacing w:after="0"/>
        <w:jc w:val="both"/>
        <w:rPr>
          <w:rFonts w:cs="Arial"/>
          <w:b/>
          <w:szCs w:val="24"/>
          <w:highlight w:val="yellow"/>
        </w:rPr>
      </w:pPr>
    </w:p>
    <w:p w14:paraId="5C890884" w14:textId="77777777" w:rsidR="00EF055A" w:rsidRPr="00AA1970" w:rsidRDefault="00EF055A" w:rsidP="00EF055A">
      <w:pPr>
        <w:spacing w:after="0"/>
        <w:jc w:val="both"/>
        <w:rPr>
          <w:rFonts w:cs="Arial"/>
          <w:b/>
          <w:szCs w:val="24"/>
        </w:rPr>
      </w:pPr>
      <w:r w:rsidRPr="00AA1970">
        <w:rPr>
          <w:rFonts w:cs="Arial"/>
          <w:b/>
          <w:szCs w:val="24"/>
        </w:rPr>
        <w:lastRenderedPageBreak/>
        <w:t>4. The level of resources available to support the 2020/21 revenue budget</w:t>
      </w:r>
    </w:p>
    <w:p w14:paraId="1018A8D1" w14:textId="77777777" w:rsidR="00EF055A" w:rsidRPr="007A60AF" w:rsidRDefault="00EF055A" w:rsidP="00EF055A">
      <w:pPr>
        <w:pStyle w:val="NoSpacing"/>
        <w:spacing w:line="276" w:lineRule="auto"/>
        <w:jc w:val="both"/>
        <w:rPr>
          <w:rFonts w:ascii="Arial" w:hAnsi="Arial" w:cs="Arial"/>
          <w:highlight w:val="yellow"/>
        </w:rPr>
      </w:pPr>
    </w:p>
    <w:p w14:paraId="1D110CE1" w14:textId="77777777" w:rsidR="00EF055A" w:rsidRPr="00AA1970" w:rsidRDefault="00EF055A" w:rsidP="00EF055A">
      <w:pPr>
        <w:pStyle w:val="NoSpacing"/>
        <w:spacing w:line="276" w:lineRule="auto"/>
        <w:jc w:val="both"/>
        <w:rPr>
          <w:rFonts w:ascii="Arial" w:hAnsi="Arial" w:cs="Arial"/>
        </w:rPr>
      </w:pPr>
      <w:r w:rsidRPr="00AA1970">
        <w:rPr>
          <w:rFonts w:ascii="Arial" w:hAnsi="Arial" w:cs="Arial"/>
        </w:rPr>
        <w:t>The level of resources reflected in the MTFS for 2020/21 and future years is as follows:</w:t>
      </w:r>
    </w:p>
    <w:p w14:paraId="3227DAFF" w14:textId="77777777" w:rsidR="00EF055A" w:rsidRPr="007A60AF" w:rsidRDefault="00EF055A" w:rsidP="00EF055A">
      <w:pPr>
        <w:pStyle w:val="NoSpacing"/>
        <w:spacing w:line="276" w:lineRule="auto"/>
        <w:jc w:val="both"/>
        <w:rPr>
          <w:rFonts w:ascii="Arial" w:hAnsi="Arial" w:cs="Arial"/>
          <w:highlight w:val="yellow"/>
        </w:rPr>
      </w:pPr>
    </w:p>
    <w:p w14:paraId="3E093883" w14:textId="77777777" w:rsidR="00EF055A" w:rsidRPr="00AA1970" w:rsidRDefault="00EF055A" w:rsidP="00EF055A">
      <w:pPr>
        <w:pStyle w:val="NoSpacing"/>
        <w:spacing w:line="276" w:lineRule="auto"/>
        <w:jc w:val="both"/>
        <w:rPr>
          <w:rFonts w:ascii="Arial" w:hAnsi="Arial" w:cs="Arial"/>
          <w:b/>
          <w:u w:val="single"/>
        </w:rPr>
      </w:pPr>
      <w:r w:rsidRPr="00AA1970">
        <w:rPr>
          <w:rFonts w:ascii="Arial" w:hAnsi="Arial" w:cs="Arial"/>
          <w:b/>
          <w:u w:val="single"/>
        </w:rPr>
        <w:t>Table 3</w:t>
      </w:r>
    </w:p>
    <w:p w14:paraId="02C9C532" w14:textId="77777777" w:rsidR="00EF055A" w:rsidRPr="007A60AF" w:rsidRDefault="00EF055A" w:rsidP="00EF055A">
      <w:pPr>
        <w:pStyle w:val="NoSpacing"/>
        <w:spacing w:line="276" w:lineRule="auto"/>
        <w:jc w:val="both"/>
        <w:rPr>
          <w:rFonts w:ascii="Arial" w:hAnsi="Arial" w:cs="Arial"/>
          <w:b/>
          <w:highlight w:val="yellow"/>
          <w:u w:val="single"/>
        </w:rPr>
      </w:pPr>
    </w:p>
    <w:tbl>
      <w:tblPr>
        <w:tblStyle w:val="TableGrid20"/>
        <w:tblW w:w="0" w:type="auto"/>
        <w:jc w:val="center"/>
        <w:tblLayout w:type="fixed"/>
        <w:tblLook w:val="04A0" w:firstRow="1" w:lastRow="0" w:firstColumn="1" w:lastColumn="0" w:noHBand="0" w:noVBand="1"/>
      </w:tblPr>
      <w:tblGrid>
        <w:gridCol w:w="3114"/>
        <w:gridCol w:w="1267"/>
        <w:gridCol w:w="1268"/>
        <w:gridCol w:w="1251"/>
        <w:gridCol w:w="1251"/>
      </w:tblGrid>
      <w:tr w:rsidR="009C2438" w14:paraId="032E8E7B" w14:textId="77777777" w:rsidTr="00EF055A">
        <w:trPr>
          <w:trHeight w:val="593"/>
          <w:jc w:val="center"/>
        </w:trPr>
        <w:tc>
          <w:tcPr>
            <w:tcW w:w="3114" w:type="dxa"/>
            <w:shd w:val="clear" w:color="auto" w:fill="BFBFBF" w:themeFill="background1" w:themeFillShade="BF"/>
            <w:vAlign w:val="center"/>
          </w:tcPr>
          <w:p w14:paraId="119ECD35" w14:textId="77777777" w:rsidR="00EF055A" w:rsidRPr="007A60AF" w:rsidRDefault="00EF055A" w:rsidP="00EF055A">
            <w:pPr>
              <w:jc w:val="both"/>
              <w:rPr>
                <w:rFonts w:eastAsiaTheme="minorHAnsi" w:cs="Arial"/>
                <w:szCs w:val="24"/>
                <w:highlight w:val="yellow"/>
              </w:rPr>
            </w:pPr>
          </w:p>
        </w:tc>
        <w:tc>
          <w:tcPr>
            <w:tcW w:w="1267" w:type="dxa"/>
            <w:shd w:val="clear" w:color="auto" w:fill="BFBFBF" w:themeFill="background1" w:themeFillShade="BF"/>
            <w:vAlign w:val="center"/>
          </w:tcPr>
          <w:p w14:paraId="14332D05" w14:textId="77777777" w:rsidR="00EF055A" w:rsidRPr="00FA209D" w:rsidRDefault="00EF055A" w:rsidP="00EF055A">
            <w:pPr>
              <w:jc w:val="center"/>
              <w:rPr>
                <w:rFonts w:eastAsiaTheme="minorHAnsi" w:cs="Arial"/>
                <w:b/>
                <w:szCs w:val="24"/>
              </w:rPr>
            </w:pPr>
            <w:r w:rsidRPr="00FA209D">
              <w:rPr>
                <w:rFonts w:eastAsiaTheme="minorHAnsi" w:cs="Arial"/>
                <w:b/>
                <w:szCs w:val="24"/>
              </w:rPr>
              <w:t>2020/21</w:t>
            </w:r>
          </w:p>
          <w:p w14:paraId="0A52DD3B" w14:textId="77777777" w:rsidR="00EF055A" w:rsidRPr="00FA209D" w:rsidRDefault="00EF055A" w:rsidP="00EF055A">
            <w:pPr>
              <w:jc w:val="center"/>
              <w:rPr>
                <w:rFonts w:eastAsiaTheme="minorHAnsi" w:cs="Arial"/>
                <w:b/>
                <w:szCs w:val="24"/>
              </w:rPr>
            </w:pPr>
            <w:r w:rsidRPr="00FA209D">
              <w:rPr>
                <w:rFonts w:eastAsiaTheme="minorHAnsi" w:cs="Arial"/>
                <w:b/>
                <w:szCs w:val="24"/>
              </w:rPr>
              <w:t>£m</w:t>
            </w:r>
          </w:p>
        </w:tc>
        <w:tc>
          <w:tcPr>
            <w:tcW w:w="1268" w:type="dxa"/>
            <w:shd w:val="clear" w:color="auto" w:fill="BFBFBF" w:themeFill="background1" w:themeFillShade="BF"/>
          </w:tcPr>
          <w:p w14:paraId="27FDCDB1" w14:textId="77777777" w:rsidR="00EF055A" w:rsidRPr="00FA209D" w:rsidRDefault="00EF055A" w:rsidP="00EF055A">
            <w:pPr>
              <w:jc w:val="center"/>
              <w:rPr>
                <w:rFonts w:eastAsiaTheme="minorHAnsi" w:cs="Arial"/>
                <w:b/>
                <w:szCs w:val="24"/>
              </w:rPr>
            </w:pPr>
            <w:r w:rsidRPr="00FA209D">
              <w:rPr>
                <w:rFonts w:eastAsiaTheme="minorHAnsi" w:cs="Arial"/>
                <w:b/>
                <w:szCs w:val="24"/>
              </w:rPr>
              <w:t>2021/22 £m</w:t>
            </w:r>
          </w:p>
        </w:tc>
        <w:tc>
          <w:tcPr>
            <w:tcW w:w="1251" w:type="dxa"/>
            <w:shd w:val="clear" w:color="auto" w:fill="BFBFBF" w:themeFill="background1" w:themeFillShade="BF"/>
          </w:tcPr>
          <w:p w14:paraId="4EC8CE0D" w14:textId="77777777" w:rsidR="00EF055A" w:rsidRPr="00FA209D" w:rsidRDefault="00EF055A" w:rsidP="00EF055A">
            <w:pPr>
              <w:jc w:val="center"/>
              <w:rPr>
                <w:rFonts w:eastAsiaTheme="minorHAnsi" w:cs="Arial"/>
                <w:b/>
                <w:szCs w:val="24"/>
              </w:rPr>
            </w:pPr>
            <w:r w:rsidRPr="00FA209D">
              <w:rPr>
                <w:rFonts w:eastAsiaTheme="minorHAnsi" w:cs="Arial"/>
                <w:b/>
                <w:szCs w:val="24"/>
              </w:rPr>
              <w:t>2022/23</w:t>
            </w:r>
          </w:p>
          <w:p w14:paraId="08959EE5" w14:textId="77777777" w:rsidR="00EF055A" w:rsidRPr="00FA209D" w:rsidRDefault="00EF055A" w:rsidP="00EF055A">
            <w:pPr>
              <w:jc w:val="center"/>
              <w:rPr>
                <w:rFonts w:eastAsiaTheme="minorHAnsi" w:cs="Arial"/>
                <w:b/>
                <w:szCs w:val="24"/>
              </w:rPr>
            </w:pPr>
            <w:r w:rsidRPr="00FA209D">
              <w:rPr>
                <w:rFonts w:eastAsiaTheme="minorHAnsi" w:cs="Arial"/>
                <w:b/>
                <w:szCs w:val="24"/>
              </w:rPr>
              <w:t>£m</w:t>
            </w:r>
          </w:p>
        </w:tc>
        <w:tc>
          <w:tcPr>
            <w:tcW w:w="1251" w:type="dxa"/>
            <w:shd w:val="clear" w:color="auto" w:fill="BFBFBF" w:themeFill="background1" w:themeFillShade="BF"/>
          </w:tcPr>
          <w:p w14:paraId="6EFD6652" w14:textId="77777777" w:rsidR="00EF055A" w:rsidRPr="00FA209D" w:rsidRDefault="00EF055A" w:rsidP="00EF055A">
            <w:pPr>
              <w:jc w:val="center"/>
              <w:rPr>
                <w:rFonts w:eastAsiaTheme="minorHAnsi" w:cs="Arial"/>
                <w:b/>
                <w:szCs w:val="24"/>
              </w:rPr>
            </w:pPr>
            <w:r w:rsidRPr="00FA209D">
              <w:rPr>
                <w:rFonts w:eastAsiaTheme="minorHAnsi" w:cs="Arial"/>
                <w:b/>
                <w:szCs w:val="24"/>
              </w:rPr>
              <w:t>2023/24</w:t>
            </w:r>
          </w:p>
          <w:p w14:paraId="0A4B3B4C" w14:textId="77777777" w:rsidR="00EF055A" w:rsidRPr="00FA209D" w:rsidRDefault="00EF055A" w:rsidP="00EF055A">
            <w:pPr>
              <w:jc w:val="center"/>
              <w:rPr>
                <w:rFonts w:eastAsiaTheme="minorHAnsi" w:cs="Arial"/>
                <w:b/>
                <w:szCs w:val="24"/>
              </w:rPr>
            </w:pPr>
            <w:r w:rsidRPr="00FA209D">
              <w:rPr>
                <w:rFonts w:eastAsiaTheme="minorHAnsi" w:cs="Arial"/>
                <w:b/>
                <w:szCs w:val="24"/>
              </w:rPr>
              <w:t>£m</w:t>
            </w:r>
          </w:p>
        </w:tc>
      </w:tr>
      <w:tr w:rsidR="009C2438" w14:paraId="47563FF1" w14:textId="77777777" w:rsidTr="00EF055A">
        <w:trPr>
          <w:trHeight w:val="526"/>
          <w:jc w:val="center"/>
        </w:trPr>
        <w:tc>
          <w:tcPr>
            <w:tcW w:w="3114" w:type="dxa"/>
            <w:vAlign w:val="center"/>
          </w:tcPr>
          <w:p w14:paraId="2C1CBD2E" w14:textId="77777777" w:rsidR="00EF055A" w:rsidRPr="00171651" w:rsidRDefault="00EF055A" w:rsidP="00EF055A">
            <w:pPr>
              <w:rPr>
                <w:rFonts w:eastAsiaTheme="minorHAnsi" w:cs="Arial"/>
                <w:szCs w:val="24"/>
              </w:rPr>
            </w:pPr>
            <w:r w:rsidRPr="00171651">
              <w:rPr>
                <w:rFonts w:eastAsiaTheme="minorHAnsi" w:cs="Arial"/>
                <w:szCs w:val="24"/>
              </w:rPr>
              <w:t>Revenue Support Grant</w:t>
            </w:r>
          </w:p>
        </w:tc>
        <w:tc>
          <w:tcPr>
            <w:tcW w:w="1267" w:type="dxa"/>
            <w:vAlign w:val="center"/>
          </w:tcPr>
          <w:p w14:paraId="659265E7" w14:textId="77777777" w:rsidR="00EF055A" w:rsidRPr="00171651" w:rsidRDefault="00EF055A" w:rsidP="00EF055A">
            <w:pPr>
              <w:jc w:val="right"/>
              <w:rPr>
                <w:rFonts w:eastAsiaTheme="minorHAnsi" w:cs="Arial"/>
                <w:szCs w:val="24"/>
              </w:rPr>
            </w:pPr>
            <w:r w:rsidRPr="00171651">
              <w:rPr>
                <w:rFonts w:eastAsiaTheme="minorHAnsi" w:cs="Arial"/>
                <w:szCs w:val="24"/>
              </w:rPr>
              <w:t>33.430</w:t>
            </w:r>
          </w:p>
        </w:tc>
        <w:tc>
          <w:tcPr>
            <w:tcW w:w="1268" w:type="dxa"/>
            <w:vAlign w:val="center"/>
          </w:tcPr>
          <w:p w14:paraId="3C5C37BE" w14:textId="77777777" w:rsidR="00EF055A" w:rsidRPr="00171651" w:rsidRDefault="00EF055A" w:rsidP="00EF055A">
            <w:pPr>
              <w:jc w:val="right"/>
              <w:rPr>
                <w:rFonts w:eastAsiaTheme="minorHAnsi" w:cs="Arial"/>
                <w:szCs w:val="24"/>
              </w:rPr>
            </w:pPr>
            <w:r w:rsidRPr="00171651">
              <w:rPr>
                <w:rFonts w:eastAsiaTheme="minorHAnsi" w:cs="Arial"/>
                <w:szCs w:val="24"/>
              </w:rPr>
              <w:t>33.430</w:t>
            </w:r>
          </w:p>
        </w:tc>
        <w:tc>
          <w:tcPr>
            <w:tcW w:w="1251" w:type="dxa"/>
            <w:vAlign w:val="center"/>
          </w:tcPr>
          <w:p w14:paraId="38D35249" w14:textId="77777777" w:rsidR="00EF055A" w:rsidRPr="00171651" w:rsidRDefault="00EF055A" w:rsidP="00EF055A">
            <w:pPr>
              <w:jc w:val="right"/>
              <w:rPr>
                <w:rFonts w:eastAsiaTheme="minorHAnsi" w:cs="Arial"/>
                <w:szCs w:val="24"/>
              </w:rPr>
            </w:pPr>
            <w:r w:rsidRPr="00171651">
              <w:rPr>
                <w:rFonts w:eastAsiaTheme="minorHAnsi" w:cs="Arial"/>
                <w:szCs w:val="24"/>
              </w:rPr>
              <w:t>33.430</w:t>
            </w:r>
          </w:p>
        </w:tc>
        <w:tc>
          <w:tcPr>
            <w:tcW w:w="1251" w:type="dxa"/>
            <w:vAlign w:val="center"/>
          </w:tcPr>
          <w:p w14:paraId="1E088154" w14:textId="77777777" w:rsidR="00EF055A" w:rsidRPr="00171651" w:rsidRDefault="00EF055A" w:rsidP="00EF055A">
            <w:pPr>
              <w:jc w:val="right"/>
              <w:rPr>
                <w:rFonts w:eastAsiaTheme="minorHAnsi" w:cs="Arial"/>
                <w:szCs w:val="24"/>
              </w:rPr>
            </w:pPr>
            <w:r w:rsidRPr="00171651">
              <w:rPr>
                <w:rFonts w:eastAsiaTheme="minorHAnsi" w:cs="Arial"/>
                <w:szCs w:val="24"/>
              </w:rPr>
              <w:t>33.430</w:t>
            </w:r>
          </w:p>
        </w:tc>
      </w:tr>
      <w:tr w:rsidR="009C2438" w14:paraId="55259460" w14:textId="77777777" w:rsidTr="00EF055A">
        <w:tblPrEx>
          <w:jc w:val="left"/>
        </w:tblPrEx>
        <w:trPr>
          <w:trHeight w:val="526"/>
        </w:trPr>
        <w:tc>
          <w:tcPr>
            <w:tcW w:w="3114" w:type="dxa"/>
            <w:vAlign w:val="center"/>
            <w:hideMark/>
          </w:tcPr>
          <w:p w14:paraId="52DFE4E1" w14:textId="77777777" w:rsidR="00EF055A" w:rsidRPr="007A60AF" w:rsidRDefault="00EF055A" w:rsidP="00EF055A">
            <w:pPr>
              <w:rPr>
                <w:rFonts w:cs="Arial"/>
                <w:color w:val="000000"/>
                <w:szCs w:val="24"/>
                <w:highlight w:val="yellow"/>
              </w:rPr>
            </w:pPr>
            <w:r w:rsidRPr="009556C3">
              <w:rPr>
                <w:rFonts w:cs="Arial"/>
                <w:color w:val="000000"/>
                <w:szCs w:val="24"/>
              </w:rPr>
              <w:t>Business Rates</w:t>
            </w:r>
          </w:p>
        </w:tc>
        <w:tc>
          <w:tcPr>
            <w:tcW w:w="1267" w:type="dxa"/>
            <w:vAlign w:val="center"/>
            <w:hideMark/>
          </w:tcPr>
          <w:p w14:paraId="725C6DE4" w14:textId="77777777" w:rsidR="00EF055A" w:rsidRPr="009556C3" w:rsidRDefault="00EF055A" w:rsidP="00EF055A">
            <w:pPr>
              <w:jc w:val="right"/>
              <w:rPr>
                <w:rFonts w:cs="Arial"/>
                <w:color w:val="000000"/>
                <w:szCs w:val="24"/>
                <w:highlight w:val="red"/>
              </w:rPr>
            </w:pPr>
            <w:r w:rsidRPr="00B87371">
              <w:rPr>
                <w:rFonts w:cs="Arial"/>
                <w:color w:val="000000"/>
                <w:szCs w:val="24"/>
              </w:rPr>
              <w:t>202.318</w:t>
            </w:r>
          </w:p>
        </w:tc>
        <w:tc>
          <w:tcPr>
            <w:tcW w:w="1268" w:type="dxa"/>
            <w:vAlign w:val="center"/>
          </w:tcPr>
          <w:p w14:paraId="5EF0C215" w14:textId="77777777" w:rsidR="00EF055A" w:rsidRPr="005220BB" w:rsidRDefault="00EF055A" w:rsidP="00EF055A">
            <w:pPr>
              <w:jc w:val="right"/>
              <w:rPr>
                <w:rFonts w:cs="Arial"/>
                <w:color w:val="000000"/>
                <w:szCs w:val="24"/>
              </w:rPr>
            </w:pPr>
            <w:r w:rsidRPr="005220BB">
              <w:rPr>
                <w:rFonts w:cs="Arial"/>
                <w:color w:val="000000"/>
                <w:szCs w:val="24"/>
              </w:rPr>
              <w:t>200.947</w:t>
            </w:r>
          </w:p>
        </w:tc>
        <w:tc>
          <w:tcPr>
            <w:tcW w:w="1251" w:type="dxa"/>
            <w:vAlign w:val="center"/>
          </w:tcPr>
          <w:p w14:paraId="55527C04" w14:textId="77777777" w:rsidR="00EF055A" w:rsidRPr="005220BB" w:rsidRDefault="00EF055A" w:rsidP="00EF055A">
            <w:pPr>
              <w:jc w:val="right"/>
              <w:rPr>
                <w:rFonts w:cs="Arial"/>
                <w:color w:val="000000"/>
                <w:szCs w:val="24"/>
              </w:rPr>
            </w:pPr>
            <w:r>
              <w:rPr>
                <w:rFonts w:cs="Arial"/>
                <w:color w:val="000000"/>
                <w:szCs w:val="24"/>
              </w:rPr>
              <w:t>203.182</w:t>
            </w:r>
          </w:p>
        </w:tc>
        <w:tc>
          <w:tcPr>
            <w:tcW w:w="1251" w:type="dxa"/>
            <w:vAlign w:val="center"/>
          </w:tcPr>
          <w:p w14:paraId="586C7DDE" w14:textId="77777777" w:rsidR="00EF055A" w:rsidRPr="009556C3" w:rsidRDefault="00EF055A" w:rsidP="00EF055A">
            <w:pPr>
              <w:jc w:val="right"/>
              <w:rPr>
                <w:rFonts w:cs="Arial"/>
                <w:color w:val="000000"/>
                <w:szCs w:val="24"/>
                <w:highlight w:val="red"/>
              </w:rPr>
            </w:pPr>
            <w:r w:rsidRPr="005220BB">
              <w:rPr>
                <w:rFonts w:cs="Arial"/>
                <w:color w:val="000000"/>
                <w:szCs w:val="24"/>
              </w:rPr>
              <w:t>205.453</w:t>
            </w:r>
          </w:p>
        </w:tc>
      </w:tr>
      <w:tr w:rsidR="009C2438" w14:paraId="2C74EE05" w14:textId="77777777" w:rsidTr="00EF055A">
        <w:tblPrEx>
          <w:jc w:val="left"/>
        </w:tblPrEx>
        <w:trPr>
          <w:trHeight w:val="526"/>
        </w:trPr>
        <w:tc>
          <w:tcPr>
            <w:tcW w:w="3114" w:type="dxa"/>
            <w:vAlign w:val="center"/>
            <w:hideMark/>
          </w:tcPr>
          <w:p w14:paraId="1DBA01D7" w14:textId="77777777" w:rsidR="00EF055A" w:rsidRPr="009556C3" w:rsidRDefault="00EF055A" w:rsidP="00EF055A">
            <w:pPr>
              <w:rPr>
                <w:rFonts w:cs="Arial"/>
                <w:color w:val="000000"/>
                <w:szCs w:val="24"/>
              </w:rPr>
            </w:pPr>
            <w:r w:rsidRPr="009556C3">
              <w:rPr>
                <w:rFonts w:cs="Arial"/>
                <w:color w:val="000000"/>
                <w:szCs w:val="24"/>
              </w:rPr>
              <w:t>Council Tax</w:t>
            </w:r>
          </w:p>
        </w:tc>
        <w:tc>
          <w:tcPr>
            <w:tcW w:w="1267" w:type="dxa"/>
            <w:vAlign w:val="center"/>
            <w:hideMark/>
          </w:tcPr>
          <w:p w14:paraId="03E55C37" w14:textId="77777777" w:rsidR="00EF055A" w:rsidRPr="009556C3" w:rsidRDefault="00EF055A" w:rsidP="00EF055A">
            <w:pPr>
              <w:jc w:val="right"/>
              <w:rPr>
                <w:rFonts w:cs="Arial"/>
                <w:color w:val="000000"/>
                <w:szCs w:val="24"/>
              </w:rPr>
            </w:pPr>
            <w:r w:rsidRPr="009556C3">
              <w:rPr>
                <w:rFonts w:cs="Arial"/>
                <w:color w:val="000000"/>
                <w:szCs w:val="24"/>
              </w:rPr>
              <w:t>519.648</w:t>
            </w:r>
          </w:p>
        </w:tc>
        <w:tc>
          <w:tcPr>
            <w:tcW w:w="1268" w:type="dxa"/>
            <w:vAlign w:val="center"/>
            <w:hideMark/>
          </w:tcPr>
          <w:p w14:paraId="110F6BEC" w14:textId="77777777" w:rsidR="00EF055A" w:rsidRPr="009556C3" w:rsidRDefault="00EF055A" w:rsidP="00EF055A">
            <w:pPr>
              <w:jc w:val="right"/>
              <w:rPr>
                <w:rFonts w:cs="Arial"/>
                <w:color w:val="000000"/>
                <w:szCs w:val="24"/>
              </w:rPr>
            </w:pPr>
            <w:r w:rsidRPr="009556C3">
              <w:rPr>
                <w:rFonts w:cs="Arial"/>
                <w:color w:val="000000"/>
                <w:szCs w:val="24"/>
              </w:rPr>
              <w:t>538.999</w:t>
            </w:r>
          </w:p>
        </w:tc>
        <w:tc>
          <w:tcPr>
            <w:tcW w:w="1251" w:type="dxa"/>
            <w:vAlign w:val="center"/>
            <w:hideMark/>
          </w:tcPr>
          <w:p w14:paraId="17ABEA38" w14:textId="77777777" w:rsidR="00EF055A" w:rsidRPr="009556C3" w:rsidRDefault="00EF055A" w:rsidP="00EF055A">
            <w:pPr>
              <w:jc w:val="right"/>
              <w:rPr>
                <w:rFonts w:cs="Arial"/>
                <w:color w:val="000000"/>
                <w:szCs w:val="24"/>
              </w:rPr>
            </w:pPr>
            <w:r w:rsidRPr="009556C3">
              <w:rPr>
                <w:rFonts w:cs="Arial"/>
                <w:color w:val="000000"/>
                <w:szCs w:val="24"/>
              </w:rPr>
              <w:t>559.070</w:t>
            </w:r>
          </w:p>
        </w:tc>
        <w:tc>
          <w:tcPr>
            <w:tcW w:w="1251" w:type="dxa"/>
            <w:vAlign w:val="center"/>
          </w:tcPr>
          <w:p w14:paraId="394523A3" w14:textId="77777777" w:rsidR="00EF055A" w:rsidRPr="009556C3" w:rsidRDefault="00EF055A" w:rsidP="00EF055A">
            <w:pPr>
              <w:jc w:val="right"/>
              <w:rPr>
                <w:rFonts w:cs="Arial"/>
                <w:color w:val="000000"/>
                <w:szCs w:val="24"/>
              </w:rPr>
            </w:pPr>
            <w:r w:rsidRPr="009556C3">
              <w:rPr>
                <w:rFonts w:cs="Arial"/>
                <w:color w:val="000000"/>
                <w:szCs w:val="24"/>
              </w:rPr>
              <w:t>579.889</w:t>
            </w:r>
          </w:p>
        </w:tc>
      </w:tr>
      <w:tr w:rsidR="009C2438" w14:paraId="5398968F" w14:textId="77777777" w:rsidTr="00EF055A">
        <w:tblPrEx>
          <w:jc w:val="left"/>
        </w:tblPrEx>
        <w:trPr>
          <w:trHeight w:val="526"/>
        </w:trPr>
        <w:tc>
          <w:tcPr>
            <w:tcW w:w="3114" w:type="dxa"/>
            <w:vAlign w:val="center"/>
            <w:hideMark/>
          </w:tcPr>
          <w:p w14:paraId="1CDC0C70" w14:textId="77777777" w:rsidR="00EF055A" w:rsidRPr="007A60AF" w:rsidRDefault="00EF055A" w:rsidP="00EF055A">
            <w:pPr>
              <w:rPr>
                <w:rFonts w:cs="Arial"/>
                <w:color w:val="000000"/>
                <w:szCs w:val="24"/>
                <w:highlight w:val="yellow"/>
              </w:rPr>
            </w:pPr>
            <w:r w:rsidRPr="00171651">
              <w:rPr>
                <w:rFonts w:cs="Arial"/>
                <w:color w:val="000000"/>
                <w:szCs w:val="24"/>
              </w:rPr>
              <w:t>New Homes Bonus</w:t>
            </w:r>
          </w:p>
        </w:tc>
        <w:tc>
          <w:tcPr>
            <w:tcW w:w="1267" w:type="dxa"/>
            <w:vAlign w:val="center"/>
            <w:hideMark/>
          </w:tcPr>
          <w:p w14:paraId="40D5D744" w14:textId="77777777" w:rsidR="00EF055A" w:rsidRPr="007A60AF" w:rsidRDefault="00EF055A" w:rsidP="00EF055A">
            <w:pPr>
              <w:jc w:val="right"/>
              <w:rPr>
                <w:rFonts w:cs="Arial"/>
                <w:color w:val="000000"/>
                <w:szCs w:val="24"/>
                <w:highlight w:val="yellow"/>
              </w:rPr>
            </w:pPr>
            <w:r w:rsidRPr="00171651">
              <w:rPr>
                <w:rFonts w:cs="Arial"/>
                <w:color w:val="000000"/>
                <w:szCs w:val="24"/>
              </w:rPr>
              <w:t>3.503</w:t>
            </w:r>
          </w:p>
        </w:tc>
        <w:tc>
          <w:tcPr>
            <w:tcW w:w="1268" w:type="dxa"/>
            <w:vAlign w:val="center"/>
            <w:hideMark/>
          </w:tcPr>
          <w:p w14:paraId="66B0167B" w14:textId="77777777" w:rsidR="00EF055A" w:rsidRPr="00171651" w:rsidRDefault="00EF055A" w:rsidP="00EF055A">
            <w:pPr>
              <w:jc w:val="right"/>
              <w:rPr>
                <w:rFonts w:cs="Arial"/>
                <w:color w:val="000000"/>
                <w:szCs w:val="24"/>
              </w:rPr>
            </w:pPr>
            <w:r w:rsidRPr="00171651">
              <w:rPr>
                <w:rFonts w:cs="Arial"/>
                <w:color w:val="000000"/>
                <w:szCs w:val="24"/>
              </w:rPr>
              <w:t>2.405</w:t>
            </w:r>
          </w:p>
        </w:tc>
        <w:tc>
          <w:tcPr>
            <w:tcW w:w="1251" w:type="dxa"/>
            <w:vAlign w:val="center"/>
            <w:hideMark/>
          </w:tcPr>
          <w:p w14:paraId="0C5B512A" w14:textId="77777777" w:rsidR="00EF055A" w:rsidRPr="00171651" w:rsidRDefault="00EF055A" w:rsidP="00EF055A">
            <w:pPr>
              <w:jc w:val="right"/>
              <w:rPr>
                <w:rFonts w:cs="Arial"/>
                <w:color w:val="000000"/>
                <w:szCs w:val="24"/>
              </w:rPr>
            </w:pPr>
            <w:r w:rsidRPr="00171651">
              <w:rPr>
                <w:rFonts w:cs="Arial"/>
                <w:color w:val="000000"/>
                <w:szCs w:val="24"/>
              </w:rPr>
              <w:t>1.635</w:t>
            </w:r>
          </w:p>
        </w:tc>
        <w:tc>
          <w:tcPr>
            <w:tcW w:w="1251" w:type="dxa"/>
            <w:vAlign w:val="center"/>
          </w:tcPr>
          <w:p w14:paraId="264581FD" w14:textId="77777777" w:rsidR="00EF055A" w:rsidRPr="00171651" w:rsidRDefault="00EF055A" w:rsidP="00EF055A">
            <w:pPr>
              <w:jc w:val="right"/>
              <w:rPr>
                <w:rFonts w:cs="Arial"/>
                <w:color w:val="000000"/>
                <w:szCs w:val="24"/>
              </w:rPr>
            </w:pPr>
            <w:r w:rsidRPr="00171651">
              <w:rPr>
                <w:rFonts w:cs="Arial"/>
                <w:color w:val="000000"/>
                <w:szCs w:val="24"/>
              </w:rPr>
              <w:t>0.799</w:t>
            </w:r>
          </w:p>
        </w:tc>
      </w:tr>
      <w:tr w:rsidR="009C2438" w14:paraId="791385DB" w14:textId="77777777" w:rsidTr="00EF055A">
        <w:tblPrEx>
          <w:jc w:val="left"/>
        </w:tblPrEx>
        <w:trPr>
          <w:trHeight w:val="526"/>
        </w:trPr>
        <w:tc>
          <w:tcPr>
            <w:tcW w:w="3114" w:type="dxa"/>
            <w:vAlign w:val="center"/>
            <w:hideMark/>
          </w:tcPr>
          <w:p w14:paraId="1FD4C903" w14:textId="77777777" w:rsidR="00EF055A" w:rsidRPr="00171651" w:rsidRDefault="00EF055A" w:rsidP="00EF055A">
            <w:pPr>
              <w:rPr>
                <w:rFonts w:cs="Arial"/>
                <w:color w:val="000000"/>
                <w:szCs w:val="24"/>
              </w:rPr>
            </w:pPr>
            <w:r w:rsidRPr="00171651">
              <w:rPr>
                <w:rFonts w:cs="Arial"/>
                <w:color w:val="000000"/>
                <w:szCs w:val="24"/>
              </w:rPr>
              <w:t>Better Care Fund</w:t>
            </w:r>
          </w:p>
        </w:tc>
        <w:tc>
          <w:tcPr>
            <w:tcW w:w="1267" w:type="dxa"/>
            <w:vAlign w:val="center"/>
            <w:hideMark/>
          </w:tcPr>
          <w:p w14:paraId="4130427E" w14:textId="77777777" w:rsidR="00EF055A" w:rsidRPr="00171651" w:rsidRDefault="00EF055A" w:rsidP="00EF055A">
            <w:pPr>
              <w:jc w:val="right"/>
              <w:rPr>
                <w:rFonts w:cs="Arial"/>
                <w:color w:val="000000"/>
                <w:szCs w:val="24"/>
              </w:rPr>
            </w:pPr>
            <w:r w:rsidRPr="00171651">
              <w:rPr>
                <w:rFonts w:cs="Arial"/>
                <w:color w:val="000000"/>
                <w:szCs w:val="24"/>
              </w:rPr>
              <w:t>45.532</w:t>
            </w:r>
          </w:p>
        </w:tc>
        <w:tc>
          <w:tcPr>
            <w:tcW w:w="1268" w:type="dxa"/>
            <w:vAlign w:val="center"/>
            <w:hideMark/>
          </w:tcPr>
          <w:p w14:paraId="7373C3C5" w14:textId="77777777" w:rsidR="00EF055A" w:rsidRPr="00171651" w:rsidRDefault="00EF055A" w:rsidP="00EF055A">
            <w:pPr>
              <w:jc w:val="right"/>
              <w:rPr>
                <w:rFonts w:cs="Arial"/>
                <w:color w:val="000000"/>
                <w:szCs w:val="24"/>
              </w:rPr>
            </w:pPr>
            <w:r w:rsidRPr="00171651">
              <w:rPr>
                <w:rFonts w:cs="Arial"/>
                <w:color w:val="000000"/>
                <w:szCs w:val="24"/>
              </w:rPr>
              <w:t>45.532</w:t>
            </w:r>
          </w:p>
        </w:tc>
        <w:tc>
          <w:tcPr>
            <w:tcW w:w="1251" w:type="dxa"/>
            <w:vAlign w:val="center"/>
            <w:hideMark/>
          </w:tcPr>
          <w:p w14:paraId="3B2A6144" w14:textId="77777777" w:rsidR="00EF055A" w:rsidRPr="00171651" w:rsidRDefault="00EF055A" w:rsidP="00EF055A">
            <w:pPr>
              <w:jc w:val="right"/>
              <w:rPr>
                <w:rFonts w:cs="Arial"/>
                <w:color w:val="000000"/>
                <w:szCs w:val="24"/>
              </w:rPr>
            </w:pPr>
            <w:r w:rsidRPr="00171651">
              <w:rPr>
                <w:rFonts w:cs="Arial"/>
                <w:color w:val="000000"/>
                <w:szCs w:val="24"/>
              </w:rPr>
              <w:t>45.532</w:t>
            </w:r>
          </w:p>
        </w:tc>
        <w:tc>
          <w:tcPr>
            <w:tcW w:w="1251" w:type="dxa"/>
            <w:vAlign w:val="center"/>
          </w:tcPr>
          <w:p w14:paraId="63E23B8D" w14:textId="77777777" w:rsidR="00EF055A" w:rsidRPr="00171651" w:rsidRDefault="00EF055A" w:rsidP="00EF055A">
            <w:pPr>
              <w:jc w:val="right"/>
              <w:rPr>
                <w:rFonts w:cs="Arial"/>
                <w:color w:val="000000"/>
                <w:szCs w:val="24"/>
              </w:rPr>
            </w:pPr>
            <w:r w:rsidRPr="00171651">
              <w:rPr>
                <w:rFonts w:cs="Arial"/>
                <w:color w:val="000000"/>
                <w:szCs w:val="24"/>
              </w:rPr>
              <w:t>45.532</w:t>
            </w:r>
          </w:p>
        </w:tc>
      </w:tr>
      <w:tr w:rsidR="009C2438" w14:paraId="767B6E92" w14:textId="77777777" w:rsidTr="00EF055A">
        <w:tblPrEx>
          <w:jc w:val="left"/>
        </w:tblPrEx>
        <w:trPr>
          <w:trHeight w:val="526"/>
        </w:trPr>
        <w:tc>
          <w:tcPr>
            <w:tcW w:w="3114" w:type="dxa"/>
            <w:vAlign w:val="center"/>
            <w:hideMark/>
          </w:tcPr>
          <w:p w14:paraId="7D032980" w14:textId="77777777" w:rsidR="00EF055A" w:rsidRPr="009556C3" w:rsidRDefault="00EF055A" w:rsidP="00EF055A">
            <w:pPr>
              <w:rPr>
                <w:rFonts w:cs="Arial"/>
                <w:color w:val="000000"/>
                <w:szCs w:val="24"/>
              </w:rPr>
            </w:pPr>
            <w:r w:rsidRPr="009556C3">
              <w:rPr>
                <w:rFonts w:cs="Arial"/>
                <w:color w:val="000000"/>
                <w:szCs w:val="24"/>
              </w:rPr>
              <w:t>Social Care Grant</w:t>
            </w:r>
          </w:p>
        </w:tc>
        <w:tc>
          <w:tcPr>
            <w:tcW w:w="1267" w:type="dxa"/>
            <w:vAlign w:val="center"/>
            <w:hideMark/>
          </w:tcPr>
          <w:p w14:paraId="7D5C18F2" w14:textId="77777777" w:rsidR="00EF055A" w:rsidRPr="009556C3" w:rsidRDefault="00EF055A" w:rsidP="00EF055A">
            <w:pPr>
              <w:jc w:val="right"/>
              <w:rPr>
                <w:rFonts w:cs="Arial"/>
                <w:color w:val="000000"/>
                <w:szCs w:val="24"/>
              </w:rPr>
            </w:pPr>
            <w:r w:rsidRPr="009556C3">
              <w:rPr>
                <w:rFonts w:cs="Arial"/>
                <w:color w:val="000000"/>
                <w:szCs w:val="24"/>
              </w:rPr>
              <w:t>33.417</w:t>
            </w:r>
          </w:p>
        </w:tc>
        <w:tc>
          <w:tcPr>
            <w:tcW w:w="1268" w:type="dxa"/>
            <w:vAlign w:val="center"/>
            <w:hideMark/>
          </w:tcPr>
          <w:p w14:paraId="5135E915" w14:textId="77777777" w:rsidR="00EF055A" w:rsidRPr="009556C3" w:rsidRDefault="00EF055A" w:rsidP="00EF055A">
            <w:pPr>
              <w:jc w:val="right"/>
              <w:rPr>
                <w:rFonts w:cs="Arial"/>
                <w:color w:val="000000"/>
                <w:szCs w:val="24"/>
              </w:rPr>
            </w:pPr>
            <w:r w:rsidRPr="009556C3">
              <w:rPr>
                <w:rFonts w:cs="Arial"/>
                <w:color w:val="000000"/>
                <w:szCs w:val="24"/>
              </w:rPr>
              <w:t>33.417</w:t>
            </w:r>
          </w:p>
        </w:tc>
        <w:tc>
          <w:tcPr>
            <w:tcW w:w="1251" w:type="dxa"/>
            <w:vAlign w:val="center"/>
            <w:hideMark/>
          </w:tcPr>
          <w:p w14:paraId="1C3BBD7F" w14:textId="77777777" w:rsidR="00EF055A" w:rsidRPr="009556C3" w:rsidRDefault="00EF055A" w:rsidP="00EF055A">
            <w:pPr>
              <w:jc w:val="right"/>
              <w:rPr>
                <w:rFonts w:cs="Arial"/>
                <w:color w:val="000000"/>
                <w:szCs w:val="24"/>
              </w:rPr>
            </w:pPr>
            <w:r w:rsidRPr="009556C3">
              <w:rPr>
                <w:rFonts w:cs="Arial"/>
                <w:color w:val="000000"/>
                <w:szCs w:val="24"/>
              </w:rPr>
              <w:t>33.417</w:t>
            </w:r>
          </w:p>
        </w:tc>
        <w:tc>
          <w:tcPr>
            <w:tcW w:w="1251" w:type="dxa"/>
            <w:vAlign w:val="center"/>
          </w:tcPr>
          <w:p w14:paraId="3AE17612" w14:textId="77777777" w:rsidR="00EF055A" w:rsidRPr="009556C3" w:rsidRDefault="00EF055A" w:rsidP="00EF055A">
            <w:pPr>
              <w:jc w:val="right"/>
              <w:rPr>
                <w:rFonts w:cs="Arial"/>
                <w:color w:val="000000"/>
                <w:szCs w:val="24"/>
              </w:rPr>
            </w:pPr>
            <w:r w:rsidRPr="009556C3">
              <w:rPr>
                <w:rFonts w:cs="Arial"/>
                <w:color w:val="000000"/>
                <w:szCs w:val="24"/>
              </w:rPr>
              <w:t>33.417</w:t>
            </w:r>
          </w:p>
        </w:tc>
      </w:tr>
      <w:tr w:rsidR="009C2438" w14:paraId="11CC4350" w14:textId="77777777" w:rsidTr="00EF055A">
        <w:tblPrEx>
          <w:jc w:val="left"/>
        </w:tblPrEx>
        <w:trPr>
          <w:trHeight w:val="526"/>
        </w:trPr>
        <w:tc>
          <w:tcPr>
            <w:tcW w:w="3114" w:type="dxa"/>
            <w:vAlign w:val="center"/>
            <w:hideMark/>
          </w:tcPr>
          <w:p w14:paraId="784DD5AA" w14:textId="77777777" w:rsidR="00EF055A" w:rsidRPr="00171651" w:rsidRDefault="00EF055A" w:rsidP="00EF055A">
            <w:pPr>
              <w:rPr>
                <w:rFonts w:cs="Arial"/>
                <w:color w:val="000000"/>
                <w:szCs w:val="24"/>
              </w:rPr>
            </w:pPr>
            <w:r w:rsidRPr="00171651">
              <w:rPr>
                <w:rFonts w:cs="Arial"/>
                <w:color w:val="000000"/>
                <w:szCs w:val="24"/>
              </w:rPr>
              <w:t>Collection Fund Surplus</w:t>
            </w:r>
          </w:p>
        </w:tc>
        <w:tc>
          <w:tcPr>
            <w:tcW w:w="1267" w:type="dxa"/>
            <w:vAlign w:val="center"/>
            <w:hideMark/>
          </w:tcPr>
          <w:p w14:paraId="5D0ADA0F" w14:textId="77777777" w:rsidR="00EF055A" w:rsidRPr="00171651" w:rsidRDefault="00EF055A" w:rsidP="00EF055A">
            <w:pPr>
              <w:jc w:val="right"/>
              <w:rPr>
                <w:rFonts w:cs="Arial"/>
                <w:color w:val="000000"/>
                <w:szCs w:val="24"/>
              </w:rPr>
            </w:pPr>
            <w:r>
              <w:rPr>
                <w:rFonts w:cs="Arial"/>
                <w:color w:val="000000"/>
                <w:szCs w:val="24"/>
              </w:rPr>
              <w:t>7.003</w:t>
            </w:r>
          </w:p>
        </w:tc>
        <w:tc>
          <w:tcPr>
            <w:tcW w:w="1268" w:type="dxa"/>
            <w:vAlign w:val="center"/>
            <w:hideMark/>
          </w:tcPr>
          <w:p w14:paraId="045C62AB" w14:textId="77777777" w:rsidR="00EF055A" w:rsidRPr="00171651" w:rsidRDefault="00EF055A" w:rsidP="00EF055A">
            <w:pPr>
              <w:jc w:val="right"/>
              <w:rPr>
                <w:rFonts w:cs="Arial"/>
                <w:color w:val="000000"/>
                <w:szCs w:val="24"/>
              </w:rPr>
            </w:pPr>
            <w:r w:rsidRPr="00171651">
              <w:rPr>
                <w:rFonts w:cs="Arial"/>
                <w:color w:val="000000"/>
                <w:szCs w:val="24"/>
              </w:rPr>
              <w:t>3.750</w:t>
            </w:r>
          </w:p>
        </w:tc>
        <w:tc>
          <w:tcPr>
            <w:tcW w:w="1251" w:type="dxa"/>
            <w:vAlign w:val="center"/>
            <w:hideMark/>
          </w:tcPr>
          <w:p w14:paraId="6741FF34" w14:textId="77777777" w:rsidR="00EF055A" w:rsidRPr="00171651" w:rsidRDefault="00EF055A" w:rsidP="00EF055A">
            <w:pPr>
              <w:jc w:val="right"/>
              <w:rPr>
                <w:rFonts w:cs="Arial"/>
                <w:color w:val="000000"/>
                <w:szCs w:val="24"/>
              </w:rPr>
            </w:pPr>
            <w:r w:rsidRPr="00171651">
              <w:rPr>
                <w:rFonts w:cs="Arial"/>
                <w:color w:val="000000"/>
                <w:szCs w:val="24"/>
              </w:rPr>
              <w:t>3.750</w:t>
            </w:r>
          </w:p>
        </w:tc>
        <w:tc>
          <w:tcPr>
            <w:tcW w:w="1251" w:type="dxa"/>
            <w:vAlign w:val="center"/>
          </w:tcPr>
          <w:p w14:paraId="69E859DC" w14:textId="77777777" w:rsidR="00EF055A" w:rsidRPr="00171651" w:rsidRDefault="00EF055A" w:rsidP="00EF055A">
            <w:pPr>
              <w:jc w:val="right"/>
              <w:rPr>
                <w:rFonts w:cs="Arial"/>
                <w:color w:val="000000"/>
                <w:szCs w:val="24"/>
              </w:rPr>
            </w:pPr>
            <w:r>
              <w:rPr>
                <w:rFonts w:cs="Arial"/>
                <w:color w:val="000000"/>
                <w:szCs w:val="24"/>
              </w:rPr>
              <w:t>3.750</w:t>
            </w:r>
          </w:p>
        </w:tc>
      </w:tr>
      <w:tr w:rsidR="009C2438" w14:paraId="7D723C22" w14:textId="77777777" w:rsidTr="00EF055A">
        <w:trPr>
          <w:trHeight w:val="552"/>
          <w:jc w:val="center"/>
        </w:trPr>
        <w:tc>
          <w:tcPr>
            <w:tcW w:w="3114" w:type="dxa"/>
            <w:shd w:val="clear" w:color="auto" w:fill="BFBFBF" w:themeFill="background1" w:themeFillShade="BF"/>
            <w:vAlign w:val="center"/>
          </w:tcPr>
          <w:p w14:paraId="643F073D" w14:textId="77777777" w:rsidR="00EF055A" w:rsidRPr="007A60AF" w:rsidRDefault="00EF055A" w:rsidP="00EF055A">
            <w:pPr>
              <w:jc w:val="both"/>
              <w:rPr>
                <w:rFonts w:eastAsiaTheme="minorHAnsi" w:cs="Arial"/>
                <w:b/>
                <w:szCs w:val="24"/>
                <w:highlight w:val="yellow"/>
              </w:rPr>
            </w:pPr>
            <w:r w:rsidRPr="00B87371">
              <w:rPr>
                <w:rFonts w:eastAsiaTheme="minorHAnsi" w:cs="Arial"/>
                <w:b/>
                <w:szCs w:val="24"/>
              </w:rPr>
              <w:t>Total</w:t>
            </w:r>
          </w:p>
        </w:tc>
        <w:tc>
          <w:tcPr>
            <w:tcW w:w="1267" w:type="dxa"/>
            <w:shd w:val="clear" w:color="auto" w:fill="BFBFBF" w:themeFill="background1" w:themeFillShade="BF"/>
            <w:vAlign w:val="center"/>
          </w:tcPr>
          <w:p w14:paraId="61058B52" w14:textId="77777777" w:rsidR="00EF055A" w:rsidRPr="007A1776" w:rsidRDefault="00EF055A" w:rsidP="00EF055A">
            <w:pPr>
              <w:autoSpaceDE w:val="0"/>
              <w:autoSpaceDN w:val="0"/>
              <w:adjustRightInd w:val="0"/>
              <w:jc w:val="right"/>
              <w:rPr>
                <w:rFonts w:eastAsia="Calibri" w:cs="Arial"/>
                <w:b/>
                <w:color w:val="000000"/>
                <w:szCs w:val="24"/>
                <w:highlight w:val="yellow"/>
              </w:rPr>
            </w:pPr>
            <w:r w:rsidRPr="00731780">
              <w:rPr>
                <w:rFonts w:cs="Arial"/>
                <w:b/>
                <w:color w:val="000000"/>
                <w:szCs w:val="24"/>
              </w:rPr>
              <w:t>844.851</w:t>
            </w:r>
          </w:p>
        </w:tc>
        <w:tc>
          <w:tcPr>
            <w:tcW w:w="1268" w:type="dxa"/>
            <w:shd w:val="clear" w:color="auto" w:fill="BFBFBF" w:themeFill="background1" w:themeFillShade="BF"/>
            <w:vAlign w:val="center"/>
          </w:tcPr>
          <w:p w14:paraId="2CBEB2AA" w14:textId="77777777" w:rsidR="00EF055A" w:rsidRPr="007A1776" w:rsidRDefault="00EF055A" w:rsidP="00EF055A">
            <w:pPr>
              <w:autoSpaceDE w:val="0"/>
              <w:autoSpaceDN w:val="0"/>
              <w:adjustRightInd w:val="0"/>
              <w:jc w:val="right"/>
              <w:rPr>
                <w:rFonts w:eastAsia="Calibri" w:cs="Arial"/>
                <w:b/>
                <w:color w:val="000000"/>
                <w:szCs w:val="24"/>
              </w:rPr>
            </w:pPr>
            <w:r w:rsidRPr="007A1776">
              <w:rPr>
                <w:rFonts w:cs="Arial"/>
                <w:b/>
                <w:color w:val="000000"/>
                <w:szCs w:val="24"/>
              </w:rPr>
              <w:t>858.480</w:t>
            </w:r>
          </w:p>
        </w:tc>
        <w:tc>
          <w:tcPr>
            <w:tcW w:w="1251" w:type="dxa"/>
            <w:shd w:val="clear" w:color="auto" w:fill="BFBFBF" w:themeFill="background1" w:themeFillShade="BF"/>
            <w:vAlign w:val="center"/>
          </w:tcPr>
          <w:p w14:paraId="2AD8F07C" w14:textId="77777777" w:rsidR="00EF055A" w:rsidRPr="007A1776" w:rsidRDefault="00EF055A" w:rsidP="00EF055A">
            <w:pPr>
              <w:autoSpaceDE w:val="0"/>
              <w:autoSpaceDN w:val="0"/>
              <w:adjustRightInd w:val="0"/>
              <w:jc w:val="right"/>
              <w:rPr>
                <w:rFonts w:eastAsia="Calibri" w:cs="Arial"/>
                <w:b/>
                <w:color w:val="000000"/>
                <w:szCs w:val="24"/>
              </w:rPr>
            </w:pPr>
            <w:r w:rsidRPr="007A1776">
              <w:rPr>
                <w:rFonts w:cs="Arial"/>
                <w:b/>
                <w:color w:val="000000"/>
                <w:szCs w:val="24"/>
              </w:rPr>
              <w:t>880.016</w:t>
            </w:r>
          </w:p>
        </w:tc>
        <w:tc>
          <w:tcPr>
            <w:tcW w:w="1251" w:type="dxa"/>
            <w:shd w:val="clear" w:color="auto" w:fill="BFBFBF" w:themeFill="background1" w:themeFillShade="BF"/>
            <w:vAlign w:val="center"/>
          </w:tcPr>
          <w:p w14:paraId="5F8E9EE2" w14:textId="77777777" w:rsidR="00EF055A" w:rsidRPr="007A1776" w:rsidRDefault="00EF055A" w:rsidP="00EF055A">
            <w:pPr>
              <w:autoSpaceDE w:val="0"/>
              <w:autoSpaceDN w:val="0"/>
              <w:adjustRightInd w:val="0"/>
              <w:jc w:val="right"/>
              <w:rPr>
                <w:rFonts w:eastAsia="Calibri" w:cs="Arial"/>
                <w:b/>
                <w:color w:val="000000"/>
                <w:szCs w:val="24"/>
              </w:rPr>
            </w:pPr>
            <w:r w:rsidRPr="007A1776">
              <w:rPr>
                <w:rFonts w:cs="Arial"/>
                <w:b/>
                <w:color w:val="000000"/>
                <w:szCs w:val="24"/>
              </w:rPr>
              <w:t>902.270</w:t>
            </w:r>
          </w:p>
        </w:tc>
      </w:tr>
    </w:tbl>
    <w:p w14:paraId="2279E41B" w14:textId="77777777" w:rsidR="00EF055A" w:rsidRPr="00CA2974" w:rsidRDefault="00EF055A" w:rsidP="00EF055A">
      <w:pPr>
        <w:pStyle w:val="NoSpacing"/>
        <w:spacing w:line="276" w:lineRule="auto"/>
        <w:jc w:val="both"/>
        <w:rPr>
          <w:rFonts w:ascii="Arial" w:hAnsi="Arial" w:cs="Arial"/>
        </w:rPr>
      </w:pPr>
    </w:p>
    <w:p w14:paraId="3930AE1C" w14:textId="77777777" w:rsidR="00EF055A" w:rsidRPr="00903267" w:rsidRDefault="00EF055A" w:rsidP="00EF055A">
      <w:pPr>
        <w:pStyle w:val="NoSpacing"/>
        <w:spacing w:line="276" w:lineRule="auto"/>
        <w:jc w:val="both"/>
        <w:rPr>
          <w:rFonts w:ascii="Arial" w:hAnsi="Arial" w:cs="Arial"/>
        </w:rPr>
      </w:pPr>
      <w:r w:rsidRPr="00CA2974">
        <w:rPr>
          <w:rFonts w:ascii="Arial" w:hAnsi="Arial" w:cs="Arial"/>
        </w:rPr>
        <w:t>As the final settlement has not been announced, these figures reflect the provisional settlement and have been adjusted for the impact of the final council tax base figures and surplus and deficit position (across council tax and</w:t>
      </w:r>
      <w:r w:rsidRPr="00903267">
        <w:rPr>
          <w:rFonts w:ascii="Arial" w:hAnsi="Arial" w:cs="Arial"/>
        </w:rPr>
        <w:t xml:space="preserve"> business rates collection funds) as discussed below. </w:t>
      </w:r>
    </w:p>
    <w:p w14:paraId="1B943AE5" w14:textId="77777777" w:rsidR="00EF055A" w:rsidRPr="007A60AF" w:rsidRDefault="00EF055A" w:rsidP="00EF055A">
      <w:pPr>
        <w:pStyle w:val="NoSpacing"/>
        <w:spacing w:line="276" w:lineRule="auto"/>
        <w:jc w:val="both"/>
        <w:rPr>
          <w:rFonts w:ascii="Arial" w:hAnsi="Arial" w:cs="Arial"/>
          <w:highlight w:val="yellow"/>
        </w:rPr>
      </w:pPr>
    </w:p>
    <w:p w14:paraId="20A42B0D" w14:textId="77777777" w:rsidR="00EF055A" w:rsidRPr="007B5CC0" w:rsidRDefault="00EF055A" w:rsidP="00EF055A">
      <w:pPr>
        <w:spacing w:after="0"/>
        <w:jc w:val="both"/>
        <w:rPr>
          <w:rFonts w:cs="Arial"/>
          <w:i/>
          <w:szCs w:val="24"/>
        </w:rPr>
      </w:pPr>
      <w:r w:rsidRPr="007B5CC0">
        <w:rPr>
          <w:rFonts w:cs="Arial"/>
          <w:i/>
          <w:szCs w:val="24"/>
        </w:rPr>
        <w:t>4.1 The resources received through the local government finance settlement</w:t>
      </w:r>
    </w:p>
    <w:p w14:paraId="55144C9E" w14:textId="77777777" w:rsidR="00EF055A" w:rsidRPr="007B5CC0" w:rsidRDefault="00EF055A" w:rsidP="00EF055A">
      <w:pPr>
        <w:spacing w:after="0"/>
        <w:jc w:val="both"/>
        <w:rPr>
          <w:rFonts w:cs="Arial"/>
          <w:i/>
          <w:szCs w:val="24"/>
        </w:rPr>
      </w:pPr>
    </w:p>
    <w:p w14:paraId="06CC1A66" w14:textId="77777777" w:rsidR="00EF055A" w:rsidRDefault="00EF055A" w:rsidP="00EF055A">
      <w:pPr>
        <w:spacing w:after="0"/>
        <w:jc w:val="both"/>
        <w:rPr>
          <w:rFonts w:cs="Arial"/>
        </w:rPr>
      </w:pPr>
      <w:r w:rsidRPr="007B5CC0">
        <w:rPr>
          <w:rFonts w:cs="Arial"/>
        </w:rPr>
        <w:t>The Secretary of State announced the provisional local government finance settlement on 20</w:t>
      </w:r>
      <w:r w:rsidRPr="007B5CC0">
        <w:rPr>
          <w:rFonts w:cs="Arial"/>
          <w:vertAlign w:val="superscript"/>
        </w:rPr>
        <w:t>th</w:t>
      </w:r>
      <w:r w:rsidRPr="007B5CC0">
        <w:rPr>
          <w:rFonts w:cs="Arial"/>
        </w:rPr>
        <w:t xml:space="preserve"> December 2019, </w:t>
      </w:r>
      <w:r>
        <w:rPr>
          <w:rFonts w:cs="Arial"/>
        </w:rPr>
        <w:t>and at the time of writing the final settlement has not been announced. This is expected in mid-February</w:t>
      </w:r>
      <w:r w:rsidRPr="00511E20">
        <w:rPr>
          <w:rFonts w:cs="Arial"/>
        </w:rPr>
        <w:t>.  It</w:t>
      </w:r>
      <w:r w:rsidRPr="00FA209D">
        <w:rPr>
          <w:rFonts w:cs="Arial"/>
        </w:rPr>
        <w:t xml:space="preserve"> is important to note that the settlement only covers the period up to 2020/21, therefore assumptions have been made for 2021/22 onwards. It is currently anticipated that a new system of local government finance will be in place in 2021/22</w:t>
      </w:r>
      <w:r>
        <w:rPr>
          <w:rFonts w:cs="Arial"/>
        </w:rPr>
        <w:t>,</w:t>
      </w:r>
      <w:r w:rsidRPr="00FA209D">
        <w:rPr>
          <w:rFonts w:cs="Arial"/>
        </w:rPr>
        <w:t xml:space="preserve"> which involves local government retaining 75% of the business rates and a review of the funding formula. However, details of the scheme and the impact on Lancashire are not known at this stage. </w:t>
      </w:r>
    </w:p>
    <w:p w14:paraId="5F1D7C17" w14:textId="77777777" w:rsidR="00EF055A" w:rsidRDefault="00EF055A" w:rsidP="00EF055A">
      <w:pPr>
        <w:spacing w:after="0"/>
        <w:jc w:val="both"/>
        <w:rPr>
          <w:rFonts w:cs="Arial"/>
        </w:rPr>
      </w:pPr>
    </w:p>
    <w:p w14:paraId="092E71AC" w14:textId="77777777" w:rsidR="00EF055A" w:rsidRDefault="00EF055A" w:rsidP="00EF055A">
      <w:pPr>
        <w:spacing w:after="0"/>
        <w:jc w:val="both"/>
        <w:rPr>
          <w:rFonts w:cs="Arial"/>
        </w:rPr>
      </w:pPr>
    </w:p>
    <w:p w14:paraId="31D52F7C" w14:textId="77777777" w:rsidR="00EF055A" w:rsidRPr="007B5CC0" w:rsidRDefault="00EF055A" w:rsidP="00EF055A">
      <w:pPr>
        <w:spacing w:after="0"/>
        <w:jc w:val="both"/>
        <w:rPr>
          <w:rFonts w:cs="Arial"/>
        </w:rPr>
      </w:pPr>
      <w:r w:rsidRPr="007B5CC0">
        <w:rPr>
          <w:rFonts w:cs="Arial"/>
          <w:i/>
        </w:rPr>
        <w:t>4.2 Council Tax in 2020/21</w:t>
      </w:r>
    </w:p>
    <w:p w14:paraId="5A8B79A4" w14:textId="77777777" w:rsidR="00EF055A" w:rsidRPr="007B5CC0" w:rsidRDefault="00EF055A" w:rsidP="00EF055A">
      <w:pPr>
        <w:pStyle w:val="NoSpacing"/>
        <w:spacing w:line="276" w:lineRule="auto"/>
        <w:jc w:val="both"/>
        <w:rPr>
          <w:rFonts w:ascii="Arial" w:hAnsi="Arial" w:cs="Arial"/>
          <w:i/>
        </w:rPr>
      </w:pPr>
    </w:p>
    <w:p w14:paraId="33C6815D" w14:textId="77777777" w:rsidR="00EF055A" w:rsidRPr="007A60AF" w:rsidRDefault="00EF055A" w:rsidP="00EF055A">
      <w:pPr>
        <w:spacing w:after="0"/>
        <w:jc w:val="both"/>
        <w:rPr>
          <w:rFonts w:cs="Arial"/>
          <w:szCs w:val="24"/>
          <w:highlight w:val="yellow"/>
        </w:rPr>
      </w:pPr>
      <w:r w:rsidRPr="007B5CC0">
        <w:rPr>
          <w:rFonts w:cs="Arial"/>
          <w:szCs w:val="24"/>
        </w:rPr>
        <w:t>On 6</w:t>
      </w:r>
      <w:r w:rsidRPr="007B5CC0">
        <w:rPr>
          <w:rFonts w:cs="Arial"/>
          <w:szCs w:val="24"/>
          <w:vertAlign w:val="superscript"/>
        </w:rPr>
        <w:t>th</w:t>
      </w:r>
      <w:r w:rsidRPr="007B5CC0">
        <w:rPr>
          <w:rFonts w:cs="Arial"/>
          <w:szCs w:val="24"/>
        </w:rPr>
        <w:t xml:space="preserve"> February 2020 cabinet recommended to full council that Band D council tax for 2020/21 has a 3.99% increase, including 2% to be used for the adult social care </w:t>
      </w:r>
      <w:r w:rsidRPr="007B5CC0">
        <w:rPr>
          <w:rFonts w:cs="Arial"/>
          <w:szCs w:val="24"/>
        </w:rPr>
        <w:lastRenderedPageBreak/>
        <w:t>precept. The council tax figures within the MTFS include the impact of a 3.99% increase in council tax in 2020/21, 1.99% increase in 2021/22, 2022/23 and 2023/24.</w:t>
      </w:r>
    </w:p>
    <w:p w14:paraId="615D9F21" w14:textId="77777777" w:rsidR="00EF055A" w:rsidRPr="007A60AF" w:rsidRDefault="00EF055A" w:rsidP="00EF055A">
      <w:pPr>
        <w:spacing w:after="0"/>
        <w:jc w:val="both"/>
        <w:rPr>
          <w:rFonts w:cs="Arial"/>
          <w:szCs w:val="24"/>
          <w:highlight w:val="yellow"/>
        </w:rPr>
      </w:pPr>
    </w:p>
    <w:p w14:paraId="5FAEA6BA" w14:textId="77777777" w:rsidR="00EF055A" w:rsidRPr="004C7C0B" w:rsidRDefault="00EF055A" w:rsidP="00EF055A">
      <w:pPr>
        <w:spacing w:after="0"/>
        <w:jc w:val="both"/>
        <w:rPr>
          <w:rFonts w:cs="Arial"/>
          <w:szCs w:val="24"/>
        </w:rPr>
      </w:pPr>
      <w:r w:rsidRPr="004C7C0B">
        <w:rPr>
          <w:rFonts w:cs="Arial"/>
          <w:szCs w:val="24"/>
        </w:rPr>
        <w:t>There is a requirement for section 151 officers in those authorities levying the adult social care precept to provide information demonstrating that an amount equivalent to the additional council tax has been allocated to adult social care. Any proposals for a council tax increase above these thresholds will be subject to a referendum.</w:t>
      </w:r>
    </w:p>
    <w:p w14:paraId="4A3F236F" w14:textId="77777777" w:rsidR="00EF055A" w:rsidRPr="007A60AF" w:rsidRDefault="00EF055A" w:rsidP="00EF055A">
      <w:pPr>
        <w:spacing w:after="0"/>
        <w:jc w:val="both"/>
        <w:rPr>
          <w:rFonts w:cs="Arial"/>
          <w:szCs w:val="24"/>
          <w:highlight w:val="yellow"/>
        </w:rPr>
      </w:pPr>
    </w:p>
    <w:p w14:paraId="733F2872" w14:textId="16C2EF11" w:rsidR="00EF055A" w:rsidRPr="004C7C0B" w:rsidRDefault="00EF055A" w:rsidP="00EF055A">
      <w:pPr>
        <w:spacing w:after="0"/>
        <w:jc w:val="both"/>
        <w:rPr>
          <w:rFonts w:cs="Arial"/>
          <w:szCs w:val="24"/>
        </w:rPr>
      </w:pPr>
      <w:r w:rsidRPr="004C7C0B">
        <w:rPr>
          <w:rFonts w:cs="Arial"/>
          <w:szCs w:val="24"/>
        </w:rPr>
        <w:t xml:space="preserve">As part of the budget setting process district councils must confirm both the council </w:t>
      </w:r>
      <w:proofErr w:type="spellStart"/>
      <w:r w:rsidRPr="004C7C0B">
        <w:rPr>
          <w:rFonts w:cs="Arial"/>
          <w:szCs w:val="24"/>
        </w:rPr>
        <w:t>taxbase</w:t>
      </w:r>
      <w:proofErr w:type="spellEnd"/>
      <w:r w:rsidRPr="004C7C0B">
        <w:rPr>
          <w:rFonts w:cs="Arial"/>
          <w:szCs w:val="24"/>
        </w:rPr>
        <w:t xml:space="preserve"> and the surplus/deficit on the collection fund by 31</w:t>
      </w:r>
      <w:r w:rsidRPr="004C7C0B">
        <w:rPr>
          <w:rFonts w:cs="Arial"/>
          <w:szCs w:val="24"/>
          <w:vertAlign w:val="superscript"/>
        </w:rPr>
        <w:t>st</w:t>
      </w:r>
      <w:r w:rsidRPr="004C7C0B">
        <w:rPr>
          <w:rFonts w:cs="Arial"/>
          <w:szCs w:val="24"/>
        </w:rPr>
        <w:t xml:space="preserve"> January 20</w:t>
      </w:r>
      <w:r>
        <w:rPr>
          <w:rFonts w:cs="Arial"/>
          <w:szCs w:val="24"/>
        </w:rPr>
        <w:t>20</w:t>
      </w:r>
      <w:r w:rsidRPr="004C7C0B">
        <w:rPr>
          <w:rFonts w:cs="Arial"/>
          <w:szCs w:val="24"/>
        </w:rPr>
        <w:t xml:space="preserve">. The information provided by district councils has resulted in a tax base increase of 1.18% for 2020/21. This is less than the </w:t>
      </w:r>
      <w:proofErr w:type="spellStart"/>
      <w:r w:rsidRPr="004C7C0B">
        <w:rPr>
          <w:rFonts w:cs="Arial"/>
          <w:szCs w:val="24"/>
        </w:rPr>
        <w:t>taxbase</w:t>
      </w:r>
      <w:proofErr w:type="spellEnd"/>
      <w:r w:rsidRPr="004C7C0B">
        <w:rPr>
          <w:rFonts w:cs="Arial"/>
          <w:szCs w:val="24"/>
        </w:rPr>
        <w:t xml:space="preserve"> growth that has been built into the MTFS, therefore the reduced growth has been reflected in this report, with reduced funding </w:t>
      </w:r>
      <w:r w:rsidRPr="00D06E7E">
        <w:rPr>
          <w:rFonts w:cs="Arial"/>
          <w:szCs w:val="24"/>
        </w:rPr>
        <w:t>of £2.699m. The growth</w:t>
      </w:r>
      <w:r w:rsidRPr="004C7C0B">
        <w:rPr>
          <w:rFonts w:cs="Arial"/>
          <w:szCs w:val="24"/>
        </w:rPr>
        <w:t xml:space="preserve"> for future years remains at 1.7% with future year council tax base increases kept under review with district councils. </w:t>
      </w:r>
    </w:p>
    <w:p w14:paraId="58FF966C" w14:textId="77777777" w:rsidR="00EF055A" w:rsidRPr="007A60AF" w:rsidRDefault="00EF055A" w:rsidP="00EF055A">
      <w:pPr>
        <w:spacing w:after="0"/>
        <w:jc w:val="both"/>
        <w:rPr>
          <w:rFonts w:cs="Arial"/>
          <w:szCs w:val="24"/>
          <w:highlight w:val="yellow"/>
        </w:rPr>
      </w:pPr>
    </w:p>
    <w:p w14:paraId="603A948F" w14:textId="77777777" w:rsidR="00EF055A" w:rsidRPr="007A60AF" w:rsidRDefault="00EF055A" w:rsidP="00EF055A">
      <w:pPr>
        <w:spacing w:after="0"/>
        <w:jc w:val="both"/>
        <w:rPr>
          <w:rFonts w:cs="Arial"/>
          <w:szCs w:val="24"/>
          <w:highlight w:val="yellow"/>
        </w:rPr>
      </w:pPr>
      <w:r w:rsidRPr="004C7C0B">
        <w:rPr>
          <w:rFonts w:cs="Arial"/>
          <w:szCs w:val="24"/>
        </w:rPr>
        <w:t>As part of the budget setting process district councils must confirm the surplus/deficit on the council tax collection fund by 31</w:t>
      </w:r>
      <w:r w:rsidRPr="004C7C0B">
        <w:rPr>
          <w:rFonts w:cs="Arial"/>
          <w:szCs w:val="24"/>
          <w:vertAlign w:val="superscript"/>
        </w:rPr>
        <w:t>st</w:t>
      </w:r>
      <w:r w:rsidRPr="004C7C0B">
        <w:rPr>
          <w:rFonts w:cs="Arial"/>
          <w:szCs w:val="24"/>
        </w:rPr>
        <w:t xml:space="preserve"> January 2020. The information received from district councils state that a surplus has been achieved on the council tax collection fund </w:t>
      </w:r>
      <w:r w:rsidRPr="00D06E7E">
        <w:rPr>
          <w:rFonts w:cs="Arial"/>
          <w:szCs w:val="24"/>
        </w:rPr>
        <w:t>of £6.036m. This has therefore</w:t>
      </w:r>
      <w:r w:rsidRPr="004C7C0B">
        <w:rPr>
          <w:rFonts w:cs="Arial"/>
          <w:szCs w:val="24"/>
        </w:rPr>
        <w:t xml:space="preserve"> been included in the funding position for 2020/21. </w:t>
      </w:r>
    </w:p>
    <w:p w14:paraId="42621E4C" w14:textId="77777777" w:rsidR="00EF055A" w:rsidRPr="007A60AF" w:rsidRDefault="00EF055A" w:rsidP="00EF055A">
      <w:pPr>
        <w:spacing w:after="0"/>
        <w:jc w:val="both"/>
        <w:rPr>
          <w:rFonts w:cs="Arial"/>
          <w:szCs w:val="24"/>
          <w:highlight w:val="yellow"/>
        </w:rPr>
      </w:pPr>
    </w:p>
    <w:p w14:paraId="4931161C" w14:textId="77777777" w:rsidR="00EF055A" w:rsidRPr="007B5CC0" w:rsidRDefault="00EF055A" w:rsidP="00EF055A">
      <w:pPr>
        <w:spacing w:after="0"/>
        <w:jc w:val="both"/>
        <w:rPr>
          <w:rFonts w:cs="Arial"/>
          <w:i/>
          <w:szCs w:val="24"/>
        </w:rPr>
      </w:pPr>
      <w:r w:rsidRPr="007B5CC0">
        <w:rPr>
          <w:rFonts w:cs="Arial"/>
          <w:i/>
          <w:szCs w:val="24"/>
        </w:rPr>
        <w:t>4.3 Business Rates in 2020/21</w:t>
      </w:r>
    </w:p>
    <w:p w14:paraId="7B2A1B77" w14:textId="77777777" w:rsidR="00EF055A" w:rsidRPr="007A60AF" w:rsidRDefault="00EF055A" w:rsidP="00EF055A">
      <w:pPr>
        <w:spacing w:after="0"/>
        <w:jc w:val="both"/>
        <w:rPr>
          <w:rFonts w:cs="Arial"/>
          <w:i/>
          <w:szCs w:val="24"/>
          <w:highlight w:val="yellow"/>
        </w:rPr>
      </w:pPr>
    </w:p>
    <w:p w14:paraId="196CA8A2" w14:textId="77777777" w:rsidR="00EF055A" w:rsidRPr="00E656E1" w:rsidRDefault="00EF055A" w:rsidP="00EF055A">
      <w:pPr>
        <w:spacing w:after="0"/>
        <w:jc w:val="both"/>
        <w:rPr>
          <w:rFonts w:cs="Arial"/>
          <w:szCs w:val="24"/>
        </w:rPr>
      </w:pPr>
      <w:r w:rsidRPr="00E656E1">
        <w:rPr>
          <w:rFonts w:cs="Arial"/>
          <w:szCs w:val="24"/>
        </w:rPr>
        <w:t xml:space="preserve">From 2013/14 an element of the county council's funding is received from the locally retained element of business rates collected by the district councils. It is estimated that the county council will receive funding of </w:t>
      </w:r>
      <w:r w:rsidRPr="00B87371">
        <w:rPr>
          <w:rFonts w:cs="Arial"/>
          <w:szCs w:val="24"/>
        </w:rPr>
        <w:t>£202.318m from</w:t>
      </w:r>
      <w:r w:rsidRPr="00E656E1">
        <w:rPr>
          <w:rFonts w:cs="Arial"/>
          <w:szCs w:val="24"/>
        </w:rPr>
        <w:t xml:space="preserve"> business rates</w:t>
      </w:r>
      <w:r>
        <w:rPr>
          <w:rFonts w:cs="Arial"/>
          <w:szCs w:val="24"/>
        </w:rPr>
        <w:t xml:space="preserve">.  This amount is an improvement on the forecast and includes an estimated £0.680m the authority should receive as part of the Lancashire Business Rates Pool.  </w:t>
      </w:r>
      <w:r w:rsidRPr="00E656E1">
        <w:rPr>
          <w:rFonts w:cs="Arial"/>
          <w:szCs w:val="24"/>
        </w:rPr>
        <w:t xml:space="preserve"> </w:t>
      </w:r>
    </w:p>
    <w:p w14:paraId="788E00D3" w14:textId="77777777" w:rsidR="00EF055A" w:rsidRPr="007A60AF" w:rsidRDefault="00EF055A" w:rsidP="00EF055A">
      <w:pPr>
        <w:spacing w:after="0"/>
        <w:jc w:val="both"/>
        <w:rPr>
          <w:rFonts w:cs="Arial"/>
          <w:szCs w:val="24"/>
          <w:highlight w:val="yellow"/>
        </w:rPr>
      </w:pPr>
    </w:p>
    <w:p w14:paraId="7AC2A4C5" w14:textId="77777777" w:rsidR="00EF055A" w:rsidRPr="00E656E1" w:rsidRDefault="00EF055A" w:rsidP="00EF055A">
      <w:pPr>
        <w:spacing w:after="0"/>
        <w:jc w:val="both"/>
        <w:rPr>
          <w:rFonts w:cs="Arial"/>
          <w:szCs w:val="24"/>
        </w:rPr>
      </w:pPr>
      <w:r w:rsidRPr="00E656E1">
        <w:rPr>
          <w:rFonts w:cs="Arial"/>
          <w:szCs w:val="24"/>
        </w:rPr>
        <w:t>As part of the budget setting process district councils must confirm the surplus/deficit on the business rates collection fund by 31</w:t>
      </w:r>
      <w:r w:rsidRPr="00E656E1">
        <w:rPr>
          <w:rFonts w:cs="Arial"/>
          <w:szCs w:val="24"/>
          <w:vertAlign w:val="superscript"/>
        </w:rPr>
        <w:t>st</w:t>
      </w:r>
      <w:r w:rsidRPr="00E656E1">
        <w:rPr>
          <w:rFonts w:cs="Arial"/>
          <w:szCs w:val="24"/>
        </w:rPr>
        <w:t xml:space="preserve"> January 2020. The information received from district councils state that a </w:t>
      </w:r>
      <w:r w:rsidRPr="00B87371">
        <w:rPr>
          <w:rFonts w:cs="Arial"/>
          <w:szCs w:val="24"/>
        </w:rPr>
        <w:t>surplus has been achieved on the business rates collection fund of £0.967m. This</w:t>
      </w:r>
      <w:r w:rsidRPr="00E656E1">
        <w:rPr>
          <w:rFonts w:cs="Arial"/>
          <w:szCs w:val="24"/>
        </w:rPr>
        <w:t xml:space="preserve"> has therefore been included in the funding position for 20</w:t>
      </w:r>
      <w:r>
        <w:rPr>
          <w:rFonts w:cs="Arial"/>
          <w:szCs w:val="24"/>
        </w:rPr>
        <w:t>20</w:t>
      </w:r>
      <w:r w:rsidRPr="00E656E1">
        <w:rPr>
          <w:rFonts w:cs="Arial"/>
          <w:szCs w:val="24"/>
        </w:rPr>
        <w:t>/2</w:t>
      </w:r>
      <w:r>
        <w:rPr>
          <w:rFonts w:cs="Arial"/>
          <w:szCs w:val="24"/>
        </w:rPr>
        <w:t>1, and is an improvement of £0.429m from the amount reported in the Quarter 3 MTFS.</w:t>
      </w:r>
      <w:r w:rsidRPr="00E656E1">
        <w:rPr>
          <w:rFonts w:cs="Arial"/>
          <w:szCs w:val="24"/>
        </w:rPr>
        <w:t xml:space="preserve"> </w:t>
      </w:r>
    </w:p>
    <w:p w14:paraId="18381F2B" w14:textId="77777777" w:rsidR="00EF055A" w:rsidRPr="007A60AF" w:rsidRDefault="00EF055A" w:rsidP="00EF055A">
      <w:pPr>
        <w:spacing w:after="0"/>
        <w:jc w:val="both"/>
        <w:rPr>
          <w:rFonts w:cs="Arial"/>
          <w:szCs w:val="24"/>
          <w:highlight w:val="yellow"/>
        </w:rPr>
      </w:pPr>
    </w:p>
    <w:p w14:paraId="3C106301" w14:textId="77777777" w:rsidR="00EF055A" w:rsidRPr="007A60AF" w:rsidRDefault="00EF055A" w:rsidP="00EF055A">
      <w:pPr>
        <w:spacing w:after="0"/>
        <w:jc w:val="both"/>
        <w:rPr>
          <w:rFonts w:cs="Arial"/>
          <w:szCs w:val="24"/>
          <w:highlight w:val="yellow"/>
        </w:rPr>
      </w:pPr>
    </w:p>
    <w:p w14:paraId="5BB2E18C" w14:textId="77777777" w:rsidR="00EF055A" w:rsidRPr="007A60AF" w:rsidRDefault="00EF055A" w:rsidP="00EF055A">
      <w:pPr>
        <w:tabs>
          <w:tab w:val="left" w:pos="567"/>
          <w:tab w:val="left" w:pos="1134"/>
        </w:tabs>
        <w:spacing w:after="0"/>
        <w:jc w:val="both"/>
        <w:rPr>
          <w:rFonts w:cs="Arial"/>
          <w:szCs w:val="24"/>
          <w:highlight w:val="yellow"/>
        </w:rPr>
      </w:pPr>
    </w:p>
    <w:p w14:paraId="78839CEF" w14:textId="77777777" w:rsidR="00EF055A" w:rsidRPr="007A60AF" w:rsidRDefault="00EF055A" w:rsidP="00EF055A">
      <w:pPr>
        <w:tabs>
          <w:tab w:val="left" w:pos="567"/>
          <w:tab w:val="left" w:pos="1134"/>
        </w:tabs>
        <w:spacing w:after="0"/>
        <w:jc w:val="both"/>
        <w:rPr>
          <w:rFonts w:cs="Arial"/>
          <w:szCs w:val="24"/>
          <w:highlight w:val="yellow"/>
        </w:rPr>
      </w:pPr>
    </w:p>
    <w:p w14:paraId="6C287E4C" w14:textId="77777777" w:rsidR="00EF055A" w:rsidRPr="007A60AF" w:rsidRDefault="00EF055A" w:rsidP="00EF055A">
      <w:pPr>
        <w:tabs>
          <w:tab w:val="left" w:pos="567"/>
          <w:tab w:val="left" w:pos="1134"/>
        </w:tabs>
        <w:spacing w:after="0"/>
        <w:jc w:val="both"/>
        <w:rPr>
          <w:rFonts w:cs="Arial"/>
          <w:szCs w:val="24"/>
          <w:highlight w:val="yellow"/>
        </w:rPr>
      </w:pPr>
    </w:p>
    <w:p w14:paraId="68822504" w14:textId="77777777" w:rsidR="00EF055A" w:rsidRPr="007A60AF" w:rsidRDefault="00EF055A" w:rsidP="00EF055A">
      <w:pPr>
        <w:tabs>
          <w:tab w:val="left" w:pos="567"/>
          <w:tab w:val="left" w:pos="1134"/>
        </w:tabs>
        <w:spacing w:after="0"/>
        <w:jc w:val="both"/>
        <w:rPr>
          <w:rFonts w:cs="Arial"/>
          <w:szCs w:val="24"/>
          <w:highlight w:val="yellow"/>
        </w:rPr>
      </w:pPr>
    </w:p>
    <w:p w14:paraId="63D2EA96" w14:textId="77777777" w:rsidR="00EF055A" w:rsidRPr="007A60AF" w:rsidRDefault="00EF055A" w:rsidP="00EF055A">
      <w:pPr>
        <w:tabs>
          <w:tab w:val="left" w:pos="567"/>
          <w:tab w:val="left" w:pos="1134"/>
        </w:tabs>
        <w:spacing w:after="0"/>
        <w:jc w:val="both"/>
        <w:rPr>
          <w:rFonts w:cs="Arial"/>
          <w:szCs w:val="24"/>
          <w:highlight w:val="yellow"/>
        </w:rPr>
      </w:pPr>
    </w:p>
    <w:p w14:paraId="2D7E580E" w14:textId="77777777" w:rsidR="00EF055A" w:rsidRPr="007A60AF" w:rsidRDefault="00EF055A" w:rsidP="00EF055A">
      <w:pPr>
        <w:tabs>
          <w:tab w:val="left" w:pos="567"/>
          <w:tab w:val="left" w:pos="1134"/>
        </w:tabs>
        <w:spacing w:after="0"/>
        <w:jc w:val="both"/>
        <w:rPr>
          <w:rFonts w:cs="Arial"/>
          <w:szCs w:val="24"/>
          <w:highlight w:val="yellow"/>
        </w:rPr>
      </w:pPr>
    </w:p>
    <w:p w14:paraId="6304E993" w14:textId="77777777" w:rsidR="00EF055A" w:rsidRPr="00E656E1" w:rsidRDefault="00EF055A" w:rsidP="00EF055A">
      <w:pPr>
        <w:pStyle w:val="Heading2"/>
        <w:spacing w:line="276" w:lineRule="auto"/>
        <w:jc w:val="both"/>
        <w:rPr>
          <w:b w:val="0"/>
        </w:rPr>
      </w:pPr>
      <w:r w:rsidRPr="00E656E1">
        <w:rPr>
          <w:b w:val="0"/>
        </w:rPr>
        <w:lastRenderedPageBreak/>
        <w:t>4.</w:t>
      </w:r>
      <w:r>
        <w:rPr>
          <w:b w:val="0"/>
        </w:rPr>
        <w:t>4</w:t>
      </w:r>
      <w:r w:rsidRPr="00E656E1">
        <w:rPr>
          <w:b w:val="0"/>
        </w:rPr>
        <w:t xml:space="preserve"> Specific Grants and contributions to be received by the County Council in 2020/21</w:t>
      </w:r>
    </w:p>
    <w:p w14:paraId="4E819A19" w14:textId="77777777" w:rsidR="00EF055A" w:rsidRPr="007A60AF" w:rsidRDefault="00EF055A" w:rsidP="00EF055A">
      <w:pPr>
        <w:pStyle w:val="NoSpacing"/>
        <w:spacing w:line="276" w:lineRule="auto"/>
        <w:jc w:val="both"/>
        <w:rPr>
          <w:rFonts w:ascii="Arial" w:hAnsi="Arial" w:cs="Arial"/>
          <w:highlight w:val="yellow"/>
        </w:rPr>
      </w:pPr>
    </w:p>
    <w:p w14:paraId="5D0187EC" w14:textId="77777777" w:rsidR="00EF055A" w:rsidRPr="00E656E1" w:rsidRDefault="00EF055A" w:rsidP="00EF055A">
      <w:pPr>
        <w:pStyle w:val="NoSpacing"/>
        <w:spacing w:line="276" w:lineRule="auto"/>
        <w:jc w:val="both"/>
        <w:rPr>
          <w:rFonts w:ascii="Arial" w:hAnsi="Arial" w:cs="Arial"/>
        </w:rPr>
      </w:pPr>
      <w:r w:rsidRPr="00E656E1">
        <w:rPr>
          <w:rFonts w:ascii="Arial" w:hAnsi="Arial" w:cs="Arial"/>
        </w:rPr>
        <w:t>The following table summarises the more significant specific grants to be received by the council in 2020/21:</w:t>
      </w:r>
    </w:p>
    <w:p w14:paraId="1EC85695" w14:textId="77777777" w:rsidR="00EF055A" w:rsidRPr="007A60AF" w:rsidRDefault="00EF055A" w:rsidP="00EF055A">
      <w:pPr>
        <w:pStyle w:val="NoSpacing"/>
        <w:spacing w:line="276" w:lineRule="auto"/>
        <w:jc w:val="both"/>
        <w:rPr>
          <w:rFonts w:ascii="Arial" w:hAnsi="Arial" w:cs="Arial"/>
          <w:highlight w:val="yellow"/>
        </w:rPr>
      </w:pPr>
    </w:p>
    <w:p w14:paraId="06AE508C" w14:textId="77777777" w:rsidR="00EF055A" w:rsidRPr="00E656E1" w:rsidRDefault="00EF055A" w:rsidP="00EF055A">
      <w:pPr>
        <w:pStyle w:val="NoSpacing"/>
        <w:spacing w:line="276" w:lineRule="auto"/>
        <w:jc w:val="both"/>
        <w:rPr>
          <w:rFonts w:ascii="Arial" w:hAnsi="Arial" w:cs="Arial"/>
          <w:b/>
          <w:u w:val="single"/>
        </w:rPr>
      </w:pPr>
      <w:r w:rsidRPr="00E656E1">
        <w:rPr>
          <w:rFonts w:ascii="Arial" w:hAnsi="Arial" w:cs="Arial"/>
          <w:b/>
          <w:u w:val="single"/>
        </w:rPr>
        <w:t xml:space="preserve">Table </w:t>
      </w:r>
      <w:r>
        <w:rPr>
          <w:rFonts w:ascii="Arial" w:hAnsi="Arial" w:cs="Arial"/>
          <w:b/>
          <w:u w:val="single"/>
        </w:rPr>
        <w:t>4</w:t>
      </w:r>
    </w:p>
    <w:p w14:paraId="6854CA19" w14:textId="77777777" w:rsidR="00EF055A" w:rsidRPr="007A60AF" w:rsidRDefault="00EF055A" w:rsidP="00EF055A">
      <w:pPr>
        <w:pStyle w:val="NoSpacing"/>
        <w:spacing w:line="276" w:lineRule="auto"/>
        <w:jc w:val="both"/>
        <w:rPr>
          <w:rFonts w:ascii="Arial" w:hAnsi="Arial" w:cs="Arial"/>
          <w:b/>
          <w:highlight w:val="yellow"/>
          <w:u w:val="single"/>
        </w:rPr>
      </w:pPr>
    </w:p>
    <w:tbl>
      <w:tblPr>
        <w:tblStyle w:val="TableGrid9"/>
        <w:tblW w:w="0" w:type="auto"/>
        <w:jc w:val="center"/>
        <w:tblLook w:val="04A0" w:firstRow="1" w:lastRow="0" w:firstColumn="1" w:lastColumn="0" w:noHBand="0" w:noVBand="1"/>
      </w:tblPr>
      <w:tblGrid>
        <w:gridCol w:w="1847"/>
        <w:gridCol w:w="2257"/>
        <w:gridCol w:w="4912"/>
      </w:tblGrid>
      <w:tr w:rsidR="009C2438" w14:paraId="4AC25AEF" w14:textId="77777777" w:rsidTr="00EF055A">
        <w:trPr>
          <w:jc w:val="center"/>
        </w:trPr>
        <w:tc>
          <w:tcPr>
            <w:tcW w:w="0" w:type="auto"/>
            <w:tcBorders>
              <w:bottom w:val="nil"/>
            </w:tcBorders>
            <w:shd w:val="clear" w:color="auto" w:fill="BFBFBF" w:themeFill="background1" w:themeFillShade="BF"/>
            <w:vAlign w:val="center"/>
          </w:tcPr>
          <w:p w14:paraId="17DA069D" w14:textId="77777777" w:rsidR="00EF055A" w:rsidRPr="00E656E1" w:rsidRDefault="00EF055A" w:rsidP="00EF055A">
            <w:pPr>
              <w:pStyle w:val="Body1"/>
              <w:spacing w:line="276" w:lineRule="auto"/>
              <w:jc w:val="center"/>
              <w:rPr>
                <w:rFonts w:ascii="Arial" w:hAnsi="Arial" w:cs="Arial"/>
                <w:b/>
                <w:sz w:val="22"/>
                <w:szCs w:val="22"/>
              </w:rPr>
            </w:pPr>
            <w:r w:rsidRPr="00E656E1">
              <w:rPr>
                <w:rFonts w:ascii="Arial" w:hAnsi="Arial" w:cs="Arial"/>
                <w:b/>
                <w:sz w:val="22"/>
                <w:szCs w:val="22"/>
              </w:rPr>
              <w:t xml:space="preserve">Grant </w:t>
            </w:r>
          </w:p>
        </w:tc>
        <w:tc>
          <w:tcPr>
            <w:tcW w:w="0" w:type="auto"/>
            <w:tcBorders>
              <w:bottom w:val="nil"/>
            </w:tcBorders>
            <w:shd w:val="clear" w:color="auto" w:fill="BFBFBF" w:themeFill="background1" w:themeFillShade="BF"/>
            <w:vAlign w:val="center"/>
          </w:tcPr>
          <w:p w14:paraId="223C6D3C" w14:textId="77777777" w:rsidR="00EF055A" w:rsidRPr="00E656E1" w:rsidRDefault="00EF055A" w:rsidP="00EF055A">
            <w:pPr>
              <w:pStyle w:val="Body1"/>
              <w:spacing w:line="276" w:lineRule="auto"/>
              <w:jc w:val="center"/>
              <w:rPr>
                <w:rFonts w:ascii="Arial" w:hAnsi="Arial" w:cs="Arial"/>
                <w:b/>
                <w:sz w:val="22"/>
                <w:szCs w:val="22"/>
              </w:rPr>
            </w:pPr>
            <w:r w:rsidRPr="00E656E1">
              <w:rPr>
                <w:rFonts w:ascii="Arial" w:hAnsi="Arial" w:cs="Arial"/>
                <w:b/>
                <w:sz w:val="22"/>
                <w:szCs w:val="22"/>
              </w:rPr>
              <w:t xml:space="preserve">Estimated Allocation </w:t>
            </w:r>
            <w:r>
              <w:rPr>
                <w:rFonts w:ascii="Arial" w:hAnsi="Arial" w:cs="Arial"/>
                <w:b/>
                <w:sz w:val="22"/>
                <w:szCs w:val="22"/>
              </w:rPr>
              <w:t>2020/21</w:t>
            </w:r>
          </w:p>
          <w:p w14:paraId="0337531E" w14:textId="77777777" w:rsidR="00EF055A" w:rsidRPr="00E656E1" w:rsidRDefault="00EF055A" w:rsidP="00EF055A">
            <w:pPr>
              <w:pStyle w:val="Body1"/>
              <w:spacing w:line="276" w:lineRule="auto"/>
              <w:jc w:val="center"/>
              <w:rPr>
                <w:rFonts w:ascii="Arial" w:hAnsi="Arial" w:cs="Arial"/>
                <w:b/>
                <w:sz w:val="22"/>
                <w:szCs w:val="22"/>
              </w:rPr>
            </w:pPr>
            <w:r w:rsidRPr="00E656E1">
              <w:rPr>
                <w:rFonts w:ascii="Arial" w:hAnsi="Arial" w:cs="Arial"/>
                <w:b/>
                <w:sz w:val="22"/>
                <w:szCs w:val="22"/>
              </w:rPr>
              <w:t>£m</w:t>
            </w:r>
          </w:p>
        </w:tc>
        <w:tc>
          <w:tcPr>
            <w:tcW w:w="0" w:type="auto"/>
            <w:tcBorders>
              <w:bottom w:val="nil"/>
            </w:tcBorders>
            <w:shd w:val="clear" w:color="auto" w:fill="BFBFBF" w:themeFill="background1" w:themeFillShade="BF"/>
            <w:vAlign w:val="center"/>
          </w:tcPr>
          <w:p w14:paraId="7C7C61D6" w14:textId="77777777" w:rsidR="00EF055A" w:rsidRPr="00E656E1" w:rsidRDefault="00EF055A" w:rsidP="00EF055A">
            <w:pPr>
              <w:pStyle w:val="Body1"/>
              <w:spacing w:line="276" w:lineRule="auto"/>
              <w:jc w:val="center"/>
              <w:rPr>
                <w:rFonts w:ascii="Arial" w:hAnsi="Arial" w:cs="Arial"/>
                <w:b/>
                <w:sz w:val="22"/>
                <w:szCs w:val="22"/>
              </w:rPr>
            </w:pPr>
            <w:r w:rsidRPr="00E656E1">
              <w:rPr>
                <w:rFonts w:ascii="Arial" w:hAnsi="Arial" w:cs="Arial"/>
                <w:b/>
                <w:sz w:val="22"/>
                <w:szCs w:val="22"/>
              </w:rPr>
              <w:t>Description</w:t>
            </w:r>
          </w:p>
        </w:tc>
      </w:tr>
      <w:tr w:rsidR="009C2438" w14:paraId="7704E98E" w14:textId="77777777" w:rsidTr="00EF055A">
        <w:trPr>
          <w:trHeight w:val="983"/>
          <w:jc w:val="center"/>
        </w:trPr>
        <w:tc>
          <w:tcPr>
            <w:tcW w:w="0" w:type="auto"/>
            <w:tcBorders>
              <w:top w:val="single" w:sz="4" w:space="0" w:color="auto"/>
              <w:bottom w:val="single" w:sz="4" w:space="0" w:color="auto"/>
              <w:right w:val="single" w:sz="4" w:space="0" w:color="auto"/>
            </w:tcBorders>
            <w:vAlign w:val="center"/>
          </w:tcPr>
          <w:p w14:paraId="1D276DE6" w14:textId="0BC67369" w:rsidR="00EF055A" w:rsidRPr="00E656E1" w:rsidRDefault="00B225E8" w:rsidP="00EF055A">
            <w:pPr>
              <w:pStyle w:val="Body1"/>
              <w:spacing w:line="276" w:lineRule="auto"/>
              <w:rPr>
                <w:rFonts w:ascii="Arial" w:hAnsi="Arial" w:cs="Arial"/>
                <w:sz w:val="22"/>
                <w:szCs w:val="22"/>
              </w:rPr>
            </w:pPr>
            <w:r>
              <w:rPr>
                <w:rFonts w:ascii="Arial" w:hAnsi="Arial" w:cs="Arial"/>
                <w:sz w:val="22"/>
                <w:szCs w:val="22"/>
              </w:rPr>
              <w:t xml:space="preserve">Improved </w:t>
            </w:r>
            <w:r w:rsidR="00EF055A" w:rsidRPr="00E656E1">
              <w:rPr>
                <w:rFonts w:ascii="Arial" w:hAnsi="Arial" w:cs="Arial"/>
                <w:sz w:val="22"/>
                <w:szCs w:val="22"/>
              </w:rPr>
              <w:t>Better Care Fund</w:t>
            </w:r>
          </w:p>
        </w:tc>
        <w:tc>
          <w:tcPr>
            <w:tcW w:w="0" w:type="auto"/>
            <w:tcBorders>
              <w:top w:val="single" w:sz="4" w:space="0" w:color="auto"/>
              <w:left w:val="single" w:sz="4" w:space="0" w:color="auto"/>
              <w:bottom w:val="single" w:sz="4" w:space="0" w:color="auto"/>
              <w:right w:val="single" w:sz="4" w:space="0" w:color="auto"/>
            </w:tcBorders>
            <w:vAlign w:val="center"/>
          </w:tcPr>
          <w:p w14:paraId="0CAFD9B0" w14:textId="77777777" w:rsidR="00EF055A" w:rsidRPr="007A60AF" w:rsidRDefault="00EF055A" w:rsidP="00EF055A">
            <w:pPr>
              <w:pStyle w:val="Body1"/>
              <w:spacing w:line="276" w:lineRule="auto"/>
              <w:jc w:val="center"/>
              <w:rPr>
                <w:rFonts w:ascii="Arial" w:hAnsi="Arial" w:cs="Arial"/>
                <w:sz w:val="22"/>
                <w:szCs w:val="22"/>
                <w:highlight w:val="yellow"/>
              </w:rPr>
            </w:pPr>
            <w:r w:rsidRPr="007317F3">
              <w:rPr>
                <w:rFonts w:ascii="Arial" w:hAnsi="Arial" w:cs="Arial"/>
                <w:sz w:val="22"/>
                <w:szCs w:val="22"/>
              </w:rPr>
              <w:t>45.5</w:t>
            </w:r>
          </w:p>
        </w:tc>
        <w:tc>
          <w:tcPr>
            <w:tcW w:w="0" w:type="auto"/>
            <w:tcBorders>
              <w:top w:val="single" w:sz="4" w:space="0" w:color="auto"/>
              <w:left w:val="single" w:sz="4" w:space="0" w:color="auto"/>
              <w:bottom w:val="single" w:sz="4" w:space="0" w:color="auto"/>
            </w:tcBorders>
            <w:vAlign w:val="center"/>
          </w:tcPr>
          <w:p w14:paraId="513EF334" w14:textId="77777777" w:rsidR="00EF055A" w:rsidRPr="00E656E1" w:rsidRDefault="00EF055A" w:rsidP="00EF055A">
            <w:pPr>
              <w:pStyle w:val="Body1"/>
              <w:spacing w:line="276" w:lineRule="auto"/>
              <w:rPr>
                <w:rFonts w:ascii="Arial" w:hAnsi="Arial" w:cs="Arial"/>
                <w:sz w:val="22"/>
                <w:szCs w:val="22"/>
              </w:rPr>
            </w:pPr>
            <w:r w:rsidRPr="00E656E1">
              <w:rPr>
                <w:rFonts w:ascii="Arial" w:hAnsi="Arial" w:cs="Arial"/>
                <w:sz w:val="22"/>
                <w:szCs w:val="22"/>
              </w:rPr>
              <w:t xml:space="preserve">The Better Care Fund is a pooled budget to help improve the integration of health and care services. </w:t>
            </w:r>
          </w:p>
        </w:tc>
      </w:tr>
      <w:tr w:rsidR="009C2438" w14:paraId="511F038E" w14:textId="77777777" w:rsidTr="00EF055A">
        <w:trPr>
          <w:trHeight w:val="1066"/>
          <w:jc w:val="center"/>
        </w:trPr>
        <w:tc>
          <w:tcPr>
            <w:tcW w:w="0" w:type="auto"/>
            <w:tcBorders>
              <w:bottom w:val="single" w:sz="4" w:space="0" w:color="auto"/>
              <w:right w:val="single" w:sz="4" w:space="0" w:color="auto"/>
            </w:tcBorders>
            <w:vAlign w:val="center"/>
          </w:tcPr>
          <w:p w14:paraId="1280DA5C" w14:textId="77777777" w:rsidR="00EF055A" w:rsidRPr="00E656E1" w:rsidRDefault="00EF055A" w:rsidP="00EF055A">
            <w:pPr>
              <w:pStyle w:val="Body1"/>
              <w:spacing w:line="276" w:lineRule="auto"/>
              <w:rPr>
                <w:rFonts w:ascii="Arial" w:hAnsi="Arial" w:cs="Arial"/>
                <w:sz w:val="22"/>
                <w:szCs w:val="22"/>
              </w:rPr>
            </w:pPr>
            <w:r w:rsidRPr="00E656E1">
              <w:rPr>
                <w:rFonts w:ascii="Arial" w:hAnsi="Arial" w:cs="Arial"/>
                <w:sz w:val="22"/>
                <w:szCs w:val="22"/>
              </w:rPr>
              <w:t>Public Health</w:t>
            </w:r>
          </w:p>
        </w:tc>
        <w:tc>
          <w:tcPr>
            <w:tcW w:w="0" w:type="auto"/>
            <w:tcBorders>
              <w:left w:val="single" w:sz="4" w:space="0" w:color="auto"/>
              <w:bottom w:val="single" w:sz="4" w:space="0" w:color="auto"/>
              <w:right w:val="single" w:sz="4" w:space="0" w:color="auto"/>
            </w:tcBorders>
            <w:vAlign w:val="center"/>
          </w:tcPr>
          <w:p w14:paraId="7445B2F1" w14:textId="77777777" w:rsidR="00EF055A" w:rsidRPr="007A60AF" w:rsidRDefault="00EF055A" w:rsidP="00EF055A">
            <w:pPr>
              <w:pStyle w:val="Body1"/>
              <w:spacing w:line="276" w:lineRule="auto"/>
              <w:jc w:val="center"/>
              <w:rPr>
                <w:rFonts w:ascii="Arial" w:hAnsi="Arial" w:cs="Arial"/>
                <w:sz w:val="22"/>
                <w:szCs w:val="22"/>
                <w:highlight w:val="yellow"/>
              </w:rPr>
            </w:pPr>
            <w:r w:rsidRPr="005E372C">
              <w:rPr>
                <w:rFonts w:ascii="Arial" w:hAnsi="Arial" w:cs="Arial"/>
                <w:sz w:val="22"/>
                <w:szCs w:val="22"/>
              </w:rPr>
              <w:t>6</w:t>
            </w:r>
            <w:r>
              <w:rPr>
                <w:rFonts w:ascii="Arial" w:hAnsi="Arial" w:cs="Arial"/>
                <w:sz w:val="22"/>
                <w:szCs w:val="22"/>
              </w:rPr>
              <w:t>6</w:t>
            </w:r>
            <w:r w:rsidRPr="005E372C">
              <w:rPr>
                <w:rFonts w:ascii="Arial" w:hAnsi="Arial" w:cs="Arial"/>
                <w:sz w:val="22"/>
                <w:szCs w:val="22"/>
              </w:rPr>
              <w:t>.</w:t>
            </w:r>
            <w:r>
              <w:rPr>
                <w:rFonts w:ascii="Arial" w:hAnsi="Arial" w:cs="Arial"/>
                <w:sz w:val="22"/>
                <w:szCs w:val="22"/>
              </w:rPr>
              <w:t>6</w:t>
            </w:r>
            <w:r w:rsidRPr="005E372C">
              <w:rPr>
                <w:rFonts w:ascii="Arial" w:hAnsi="Arial" w:cs="Arial"/>
                <w:sz w:val="22"/>
                <w:szCs w:val="22"/>
              </w:rPr>
              <w:t xml:space="preserve"> (unconfirmed)</w:t>
            </w:r>
          </w:p>
        </w:tc>
        <w:tc>
          <w:tcPr>
            <w:tcW w:w="0" w:type="auto"/>
            <w:tcBorders>
              <w:left w:val="single" w:sz="4" w:space="0" w:color="auto"/>
              <w:bottom w:val="single" w:sz="4" w:space="0" w:color="auto"/>
            </w:tcBorders>
            <w:vAlign w:val="center"/>
          </w:tcPr>
          <w:p w14:paraId="30EEB83F" w14:textId="77777777" w:rsidR="00EF055A" w:rsidRPr="00E656E1" w:rsidRDefault="00EF055A" w:rsidP="00EF055A">
            <w:pPr>
              <w:pStyle w:val="Body1"/>
              <w:spacing w:line="276" w:lineRule="auto"/>
              <w:jc w:val="both"/>
              <w:rPr>
                <w:rFonts w:ascii="Arial" w:hAnsi="Arial" w:cs="Arial"/>
                <w:sz w:val="22"/>
                <w:szCs w:val="22"/>
              </w:rPr>
            </w:pPr>
            <w:r w:rsidRPr="00E656E1">
              <w:rPr>
                <w:rFonts w:ascii="Arial" w:hAnsi="Arial" w:cs="Arial"/>
                <w:sz w:val="22"/>
                <w:szCs w:val="22"/>
              </w:rPr>
              <w:t>Ring fenced funding only able to be spent in accordance with the conditions of the grant.</w:t>
            </w:r>
          </w:p>
        </w:tc>
      </w:tr>
    </w:tbl>
    <w:p w14:paraId="2DD8410B" w14:textId="77777777" w:rsidR="00EF055A" w:rsidRPr="007A60AF" w:rsidRDefault="00EF055A" w:rsidP="00EF055A">
      <w:pPr>
        <w:spacing w:after="0"/>
        <w:jc w:val="both"/>
        <w:rPr>
          <w:rFonts w:cs="Arial"/>
          <w:i/>
          <w:szCs w:val="24"/>
          <w:highlight w:val="yellow"/>
        </w:rPr>
      </w:pPr>
    </w:p>
    <w:p w14:paraId="5C441065" w14:textId="77777777" w:rsidR="00EF055A" w:rsidRPr="00E656E1" w:rsidRDefault="00EF055A" w:rsidP="00EF055A">
      <w:pPr>
        <w:spacing w:after="0"/>
        <w:jc w:val="both"/>
        <w:rPr>
          <w:rFonts w:cs="Arial"/>
          <w:i/>
          <w:szCs w:val="24"/>
        </w:rPr>
      </w:pPr>
      <w:r w:rsidRPr="00E656E1">
        <w:rPr>
          <w:rFonts w:cs="Arial"/>
          <w:i/>
          <w:szCs w:val="24"/>
        </w:rPr>
        <w:t>4.</w:t>
      </w:r>
      <w:r>
        <w:rPr>
          <w:rFonts w:cs="Arial"/>
          <w:i/>
          <w:szCs w:val="24"/>
        </w:rPr>
        <w:t>5</w:t>
      </w:r>
      <w:r w:rsidRPr="00E656E1">
        <w:rPr>
          <w:rFonts w:cs="Arial"/>
          <w:i/>
          <w:szCs w:val="24"/>
        </w:rPr>
        <w:t xml:space="preserve"> Reserves</w:t>
      </w:r>
    </w:p>
    <w:p w14:paraId="3A35E4E2" w14:textId="77777777" w:rsidR="00EF055A" w:rsidRPr="00E656E1" w:rsidRDefault="00EF055A" w:rsidP="00EF055A">
      <w:pPr>
        <w:spacing w:after="0"/>
        <w:jc w:val="both"/>
        <w:rPr>
          <w:rFonts w:cs="Arial"/>
          <w:szCs w:val="24"/>
        </w:rPr>
      </w:pPr>
    </w:p>
    <w:p w14:paraId="409A850C" w14:textId="77777777" w:rsidR="00EF055A" w:rsidRPr="00511E20" w:rsidRDefault="00EF055A" w:rsidP="00EF055A">
      <w:pPr>
        <w:autoSpaceDE w:val="0"/>
        <w:autoSpaceDN w:val="0"/>
        <w:adjustRightInd w:val="0"/>
        <w:spacing w:after="0" w:line="240" w:lineRule="auto"/>
        <w:ind w:right="-24"/>
        <w:jc w:val="both"/>
        <w:rPr>
          <w:rFonts w:eastAsia="Calibri" w:cs="Arial"/>
          <w:color w:val="000000"/>
          <w:szCs w:val="24"/>
        </w:rPr>
      </w:pPr>
      <w:r w:rsidRPr="00511E20">
        <w:rPr>
          <w:rFonts w:eastAsia="Calibri" w:cs="Arial"/>
          <w:color w:val="000000"/>
          <w:szCs w:val="24"/>
        </w:rPr>
        <w:t xml:space="preserve">The latest reserves position agreed by Cabinet is shown in Table </w:t>
      </w:r>
      <w:r>
        <w:rPr>
          <w:rFonts w:eastAsia="Calibri" w:cs="Arial"/>
          <w:color w:val="000000"/>
          <w:szCs w:val="24"/>
        </w:rPr>
        <w:t>5</w:t>
      </w:r>
      <w:r w:rsidRPr="00511E20">
        <w:rPr>
          <w:rFonts w:eastAsia="Calibri" w:cs="Arial"/>
          <w:color w:val="000000"/>
          <w:szCs w:val="24"/>
        </w:rPr>
        <w:t xml:space="preserve"> this does not include the impact of the forecast revenue outturn.</w:t>
      </w:r>
    </w:p>
    <w:p w14:paraId="02EEFA20" w14:textId="77777777" w:rsidR="00EF055A" w:rsidRPr="00E656E1" w:rsidRDefault="00EF055A" w:rsidP="00EF055A">
      <w:pPr>
        <w:autoSpaceDE w:val="0"/>
        <w:autoSpaceDN w:val="0"/>
        <w:adjustRightInd w:val="0"/>
        <w:spacing w:after="0" w:line="240" w:lineRule="auto"/>
        <w:ind w:right="-24"/>
        <w:jc w:val="both"/>
        <w:rPr>
          <w:rFonts w:eastAsia="Calibri" w:cs="Arial"/>
          <w:color w:val="000000"/>
          <w:szCs w:val="24"/>
          <w:highlight w:val="yellow"/>
        </w:rPr>
      </w:pPr>
      <w:r w:rsidRPr="00E656E1">
        <w:rPr>
          <w:rFonts w:eastAsia="Calibri" w:cs="Arial"/>
          <w:color w:val="000000"/>
          <w:szCs w:val="24"/>
          <w:highlight w:val="yellow"/>
        </w:rPr>
        <w:t xml:space="preserve"> </w:t>
      </w:r>
    </w:p>
    <w:p w14:paraId="24FE4C28" w14:textId="77777777" w:rsidR="00EF055A" w:rsidRDefault="00EF055A" w:rsidP="00EF055A">
      <w:pPr>
        <w:spacing w:after="0"/>
        <w:ind w:left="720" w:hanging="720"/>
        <w:jc w:val="both"/>
        <w:rPr>
          <w:rFonts w:cs="Arial"/>
          <w:b/>
          <w:szCs w:val="24"/>
          <w:u w:val="single"/>
        </w:rPr>
      </w:pPr>
    </w:p>
    <w:p w14:paraId="4ABC6CA8" w14:textId="77777777" w:rsidR="00EF055A" w:rsidRDefault="00EF055A" w:rsidP="00EF055A">
      <w:pPr>
        <w:spacing w:after="0"/>
        <w:ind w:left="720" w:hanging="720"/>
        <w:jc w:val="both"/>
        <w:rPr>
          <w:rFonts w:cs="Arial"/>
          <w:b/>
          <w:szCs w:val="24"/>
          <w:u w:val="single"/>
        </w:rPr>
      </w:pPr>
    </w:p>
    <w:p w14:paraId="39A13682" w14:textId="77777777" w:rsidR="00EF055A" w:rsidRDefault="00EF055A" w:rsidP="00EF055A">
      <w:pPr>
        <w:spacing w:after="0"/>
        <w:ind w:left="720" w:hanging="720"/>
        <w:jc w:val="both"/>
        <w:rPr>
          <w:rFonts w:cs="Arial"/>
          <w:b/>
          <w:szCs w:val="24"/>
          <w:u w:val="single"/>
        </w:rPr>
      </w:pPr>
    </w:p>
    <w:p w14:paraId="78B4EC05" w14:textId="77777777" w:rsidR="00EF055A" w:rsidRDefault="00EF055A" w:rsidP="00EF055A">
      <w:pPr>
        <w:spacing w:after="0"/>
        <w:ind w:left="720" w:hanging="720"/>
        <w:jc w:val="both"/>
        <w:rPr>
          <w:rFonts w:cs="Arial"/>
          <w:b/>
          <w:szCs w:val="24"/>
          <w:u w:val="single"/>
        </w:rPr>
      </w:pPr>
    </w:p>
    <w:p w14:paraId="4FCF7101" w14:textId="77777777" w:rsidR="00EF055A" w:rsidRDefault="00EF055A" w:rsidP="00EF055A">
      <w:pPr>
        <w:spacing w:after="0"/>
        <w:ind w:left="720" w:hanging="720"/>
        <w:jc w:val="both"/>
        <w:rPr>
          <w:rFonts w:cs="Arial"/>
          <w:b/>
          <w:szCs w:val="24"/>
          <w:u w:val="single"/>
        </w:rPr>
      </w:pPr>
    </w:p>
    <w:p w14:paraId="642F107F" w14:textId="77777777" w:rsidR="00EF055A" w:rsidRDefault="00EF055A" w:rsidP="00EF055A">
      <w:pPr>
        <w:spacing w:after="0"/>
        <w:ind w:left="720" w:hanging="720"/>
        <w:jc w:val="both"/>
        <w:rPr>
          <w:rFonts w:cs="Arial"/>
          <w:b/>
          <w:szCs w:val="24"/>
          <w:u w:val="single"/>
        </w:rPr>
      </w:pPr>
    </w:p>
    <w:p w14:paraId="7C98CFDE" w14:textId="77777777" w:rsidR="00EF055A" w:rsidRDefault="00EF055A" w:rsidP="00EF055A">
      <w:pPr>
        <w:spacing w:after="0"/>
        <w:ind w:left="720" w:hanging="720"/>
        <w:jc w:val="both"/>
        <w:rPr>
          <w:rFonts w:cs="Arial"/>
          <w:b/>
          <w:szCs w:val="24"/>
          <w:u w:val="single"/>
        </w:rPr>
      </w:pPr>
    </w:p>
    <w:p w14:paraId="0D6B81E5" w14:textId="77777777" w:rsidR="00EF055A" w:rsidRDefault="00EF055A" w:rsidP="00EF055A">
      <w:pPr>
        <w:spacing w:after="0"/>
        <w:ind w:left="720" w:hanging="720"/>
        <w:jc w:val="both"/>
        <w:rPr>
          <w:rFonts w:cs="Arial"/>
          <w:b/>
          <w:szCs w:val="24"/>
          <w:u w:val="single"/>
        </w:rPr>
      </w:pPr>
    </w:p>
    <w:p w14:paraId="7062E69C" w14:textId="77777777" w:rsidR="00EF055A" w:rsidRDefault="00EF055A" w:rsidP="00EF055A">
      <w:pPr>
        <w:spacing w:after="0"/>
        <w:ind w:left="720" w:hanging="720"/>
        <w:jc w:val="both"/>
        <w:rPr>
          <w:rFonts w:cs="Arial"/>
          <w:b/>
          <w:szCs w:val="24"/>
          <w:u w:val="single"/>
        </w:rPr>
      </w:pPr>
    </w:p>
    <w:p w14:paraId="1D35E643" w14:textId="77777777" w:rsidR="00EF055A" w:rsidRDefault="00EF055A" w:rsidP="00EF055A">
      <w:pPr>
        <w:spacing w:after="0"/>
        <w:ind w:left="720" w:hanging="720"/>
        <w:jc w:val="both"/>
        <w:rPr>
          <w:rFonts w:cs="Arial"/>
          <w:b/>
          <w:szCs w:val="24"/>
          <w:u w:val="single"/>
        </w:rPr>
      </w:pPr>
    </w:p>
    <w:p w14:paraId="37CF47EC" w14:textId="77777777" w:rsidR="00EF055A" w:rsidRDefault="00EF055A" w:rsidP="00EF055A">
      <w:pPr>
        <w:spacing w:after="0"/>
        <w:ind w:left="720" w:hanging="720"/>
        <w:jc w:val="both"/>
        <w:rPr>
          <w:rFonts w:cs="Arial"/>
          <w:b/>
          <w:szCs w:val="24"/>
          <w:u w:val="single"/>
        </w:rPr>
      </w:pPr>
    </w:p>
    <w:p w14:paraId="2606E953" w14:textId="77777777" w:rsidR="00EF055A" w:rsidRDefault="00EF055A" w:rsidP="00EF055A">
      <w:pPr>
        <w:spacing w:after="0"/>
        <w:ind w:left="720" w:hanging="720"/>
        <w:jc w:val="both"/>
        <w:rPr>
          <w:rFonts w:cs="Arial"/>
          <w:b/>
          <w:szCs w:val="24"/>
          <w:u w:val="single"/>
        </w:rPr>
      </w:pPr>
    </w:p>
    <w:p w14:paraId="7231DEA7" w14:textId="77777777" w:rsidR="00EF055A" w:rsidRDefault="00EF055A" w:rsidP="00EF055A">
      <w:pPr>
        <w:spacing w:after="0"/>
        <w:ind w:left="720" w:hanging="720"/>
        <w:jc w:val="both"/>
        <w:rPr>
          <w:rFonts w:cs="Arial"/>
          <w:b/>
          <w:szCs w:val="24"/>
          <w:u w:val="single"/>
        </w:rPr>
      </w:pPr>
    </w:p>
    <w:p w14:paraId="7E37B423" w14:textId="77777777" w:rsidR="00EF055A" w:rsidRDefault="00EF055A" w:rsidP="00EF055A">
      <w:pPr>
        <w:spacing w:after="0"/>
        <w:ind w:left="720" w:hanging="720"/>
        <w:jc w:val="both"/>
        <w:rPr>
          <w:rFonts w:cs="Arial"/>
          <w:b/>
          <w:szCs w:val="24"/>
          <w:u w:val="single"/>
        </w:rPr>
      </w:pPr>
    </w:p>
    <w:p w14:paraId="3A068C24" w14:textId="77777777" w:rsidR="00EF055A" w:rsidRDefault="00EF055A" w:rsidP="00EF055A">
      <w:pPr>
        <w:spacing w:after="0"/>
        <w:ind w:left="720" w:hanging="720"/>
        <w:jc w:val="both"/>
        <w:rPr>
          <w:rFonts w:cs="Arial"/>
          <w:b/>
          <w:szCs w:val="24"/>
          <w:u w:val="single"/>
        </w:rPr>
      </w:pPr>
    </w:p>
    <w:p w14:paraId="283B0A6F" w14:textId="77777777" w:rsidR="00EF055A" w:rsidRDefault="00EF055A" w:rsidP="00EF055A">
      <w:pPr>
        <w:spacing w:after="0"/>
        <w:ind w:left="720" w:hanging="720"/>
        <w:jc w:val="both"/>
        <w:rPr>
          <w:rFonts w:cs="Arial"/>
          <w:b/>
          <w:szCs w:val="24"/>
          <w:u w:val="single"/>
        </w:rPr>
      </w:pPr>
    </w:p>
    <w:p w14:paraId="7C0C177E" w14:textId="77777777" w:rsidR="00EF055A" w:rsidRDefault="00EF055A" w:rsidP="00EF055A">
      <w:pPr>
        <w:spacing w:after="0"/>
        <w:ind w:left="720" w:hanging="720"/>
        <w:jc w:val="both"/>
        <w:rPr>
          <w:rFonts w:cs="Arial"/>
          <w:b/>
          <w:szCs w:val="24"/>
          <w:u w:val="single"/>
        </w:rPr>
      </w:pPr>
    </w:p>
    <w:p w14:paraId="76EE2E70" w14:textId="77777777" w:rsidR="00EF055A" w:rsidRDefault="00EF055A" w:rsidP="00EF055A">
      <w:pPr>
        <w:spacing w:after="0"/>
        <w:ind w:left="720" w:hanging="720"/>
        <w:jc w:val="both"/>
        <w:rPr>
          <w:rFonts w:cs="Arial"/>
          <w:b/>
          <w:szCs w:val="24"/>
          <w:u w:val="single"/>
        </w:rPr>
      </w:pPr>
    </w:p>
    <w:p w14:paraId="2A786DA8" w14:textId="77777777" w:rsidR="00EF055A" w:rsidRDefault="00EF055A" w:rsidP="00EF055A">
      <w:pPr>
        <w:spacing w:after="0"/>
        <w:ind w:left="720" w:hanging="720"/>
        <w:jc w:val="both"/>
        <w:rPr>
          <w:rFonts w:cs="Arial"/>
          <w:b/>
          <w:szCs w:val="24"/>
          <w:u w:val="single"/>
        </w:rPr>
      </w:pPr>
    </w:p>
    <w:p w14:paraId="6913A051" w14:textId="77777777" w:rsidR="00EF055A" w:rsidRDefault="00EF055A" w:rsidP="00EF055A">
      <w:pPr>
        <w:spacing w:after="0"/>
        <w:ind w:left="720" w:hanging="720"/>
        <w:jc w:val="both"/>
        <w:rPr>
          <w:rFonts w:cs="Arial"/>
          <w:b/>
          <w:szCs w:val="24"/>
          <w:u w:val="single"/>
        </w:rPr>
      </w:pPr>
    </w:p>
    <w:p w14:paraId="30FA3EE9" w14:textId="77777777" w:rsidR="00E950A4" w:rsidRDefault="00E950A4" w:rsidP="00EF055A">
      <w:pPr>
        <w:spacing w:after="0"/>
        <w:ind w:left="720" w:hanging="720"/>
        <w:jc w:val="both"/>
        <w:rPr>
          <w:rFonts w:cs="Arial"/>
          <w:b/>
          <w:szCs w:val="24"/>
          <w:u w:val="single"/>
        </w:rPr>
      </w:pPr>
    </w:p>
    <w:p w14:paraId="0B4C3150" w14:textId="77777777" w:rsidR="00EF055A" w:rsidRDefault="00EF055A" w:rsidP="00EF055A">
      <w:pPr>
        <w:spacing w:after="0"/>
        <w:ind w:left="720" w:hanging="720"/>
        <w:jc w:val="both"/>
        <w:rPr>
          <w:rFonts w:cs="Arial"/>
          <w:b/>
          <w:szCs w:val="24"/>
          <w:u w:val="single"/>
        </w:rPr>
      </w:pPr>
    </w:p>
    <w:p w14:paraId="050C742D" w14:textId="77777777" w:rsidR="00EF055A" w:rsidRDefault="00EF055A" w:rsidP="00EF055A">
      <w:pPr>
        <w:spacing w:after="0"/>
        <w:ind w:left="720" w:hanging="720"/>
        <w:jc w:val="both"/>
        <w:rPr>
          <w:rFonts w:cs="Arial"/>
          <w:b/>
          <w:szCs w:val="24"/>
          <w:u w:val="single"/>
        </w:rPr>
      </w:pPr>
      <w:r w:rsidRPr="00E656E1">
        <w:rPr>
          <w:rFonts w:cs="Arial"/>
          <w:b/>
          <w:szCs w:val="24"/>
          <w:u w:val="single"/>
        </w:rPr>
        <w:lastRenderedPageBreak/>
        <w:t xml:space="preserve">Table </w:t>
      </w:r>
      <w:r>
        <w:rPr>
          <w:rFonts w:cs="Arial"/>
          <w:b/>
          <w:szCs w:val="24"/>
          <w:u w:val="single"/>
        </w:rPr>
        <w:t>5</w:t>
      </w:r>
    </w:p>
    <w:p w14:paraId="49D198F8" w14:textId="77777777" w:rsidR="00EF055A" w:rsidRDefault="00EF055A" w:rsidP="00EF055A">
      <w:pPr>
        <w:spacing w:after="0"/>
        <w:ind w:left="720" w:hanging="720"/>
        <w:jc w:val="both"/>
        <w:rPr>
          <w:rFonts w:cs="Arial"/>
          <w:b/>
          <w:szCs w:val="24"/>
          <w:u w:val="single"/>
        </w:rPr>
      </w:pPr>
    </w:p>
    <w:p w14:paraId="08E64BE5" w14:textId="77777777" w:rsidR="00EF055A" w:rsidRPr="00E656E1" w:rsidRDefault="00EF055A" w:rsidP="00EF055A">
      <w:pPr>
        <w:spacing w:after="0"/>
        <w:ind w:left="720" w:hanging="720"/>
        <w:jc w:val="both"/>
        <w:rPr>
          <w:rFonts w:cs="Arial"/>
          <w:b/>
          <w:szCs w:val="24"/>
          <w:u w:val="single"/>
        </w:rPr>
      </w:pPr>
      <w:r w:rsidRPr="00A84087">
        <w:rPr>
          <w:rFonts w:cs="Arial"/>
          <w:noProof/>
          <w:lang w:eastAsia="en-GB"/>
        </w:rPr>
        <w:drawing>
          <wp:inline distT="0" distB="0" distL="0" distR="0" wp14:anchorId="68C2272C" wp14:editId="7B65B878">
            <wp:extent cx="6251189" cy="528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585724"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265326" cy="5298330"/>
                    </a:xfrm>
                    <a:prstGeom prst="rect">
                      <a:avLst/>
                    </a:prstGeom>
                    <a:noFill/>
                    <a:ln>
                      <a:noFill/>
                    </a:ln>
                  </pic:spPr>
                </pic:pic>
              </a:graphicData>
            </a:graphic>
          </wp:inline>
        </w:drawing>
      </w:r>
    </w:p>
    <w:p w14:paraId="05FA55F4" w14:textId="77777777" w:rsidR="00EF055A" w:rsidRPr="007A60AF" w:rsidRDefault="00EF055A" w:rsidP="00EF055A">
      <w:pPr>
        <w:spacing w:after="0"/>
        <w:ind w:left="720" w:hanging="720"/>
        <w:jc w:val="both"/>
        <w:rPr>
          <w:rFonts w:cs="Arial"/>
          <w:b/>
          <w:szCs w:val="24"/>
          <w:highlight w:val="yellow"/>
          <w:u w:val="single"/>
        </w:rPr>
      </w:pPr>
    </w:p>
    <w:p w14:paraId="6FC0293C" w14:textId="77777777" w:rsidR="00EF055A" w:rsidRPr="007A60AF" w:rsidRDefault="00EF055A" w:rsidP="00EF055A">
      <w:pPr>
        <w:tabs>
          <w:tab w:val="left" w:pos="8288"/>
        </w:tabs>
        <w:spacing w:after="0"/>
        <w:jc w:val="both"/>
        <w:rPr>
          <w:rFonts w:cs="Arial"/>
          <w:szCs w:val="24"/>
          <w:highlight w:val="yellow"/>
        </w:rPr>
      </w:pPr>
    </w:p>
    <w:p w14:paraId="39FADA75" w14:textId="77777777" w:rsidR="00EF055A" w:rsidRPr="00E656E1" w:rsidRDefault="00EF055A" w:rsidP="00EF055A">
      <w:pPr>
        <w:autoSpaceDE w:val="0"/>
        <w:autoSpaceDN w:val="0"/>
        <w:adjustRightInd w:val="0"/>
        <w:spacing w:after="0" w:line="240" w:lineRule="auto"/>
        <w:ind w:right="-24"/>
        <w:jc w:val="both"/>
        <w:rPr>
          <w:rFonts w:eastAsia="Calibri" w:cs="Arial"/>
          <w:color w:val="000000"/>
          <w:szCs w:val="24"/>
        </w:rPr>
      </w:pPr>
      <w:r w:rsidRPr="00E656E1">
        <w:rPr>
          <w:rFonts w:eastAsia="Calibri" w:cs="Arial"/>
          <w:color w:val="000000"/>
          <w:szCs w:val="24"/>
        </w:rPr>
        <w:t xml:space="preserve">The county fund shown at the top of table </w:t>
      </w:r>
      <w:r>
        <w:rPr>
          <w:rFonts w:eastAsia="Calibri" w:cs="Arial"/>
          <w:color w:val="000000"/>
          <w:szCs w:val="24"/>
        </w:rPr>
        <w:t>5</w:t>
      </w:r>
      <w:r w:rsidRPr="00E656E1">
        <w:rPr>
          <w:rFonts w:eastAsia="Calibri" w:cs="Arial"/>
          <w:color w:val="000000"/>
          <w:szCs w:val="24"/>
        </w:rPr>
        <w:t xml:space="preserve"> is the balance set aside to cover the authority against a serious emergency situation (e.g. widespread flooding); a critical and unexpected loss of income to the authority and for general cash flow purposes.  In considering these various factors the county council is forecast to maintain its County Fund balance at £23.437m. </w:t>
      </w:r>
    </w:p>
    <w:p w14:paraId="679B977D" w14:textId="77777777" w:rsidR="00EF055A" w:rsidRPr="007A60AF" w:rsidRDefault="00EF055A" w:rsidP="00EF055A">
      <w:pPr>
        <w:autoSpaceDE w:val="0"/>
        <w:autoSpaceDN w:val="0"/>
        <w:adjustRightInd w:val="0"/>
        <w:spacing w:after="0" w:line="240" w:lineRule="auto"/>
        <w:ind w:right="-24"/>
        <w:jc w:val="both"/>
        <w:rPr>
          <w:rFonts w:eastAsia="Calibri" w:cs="Arial"/>
          <w:color w:val="000000"/>
          <w:szCs w:val="24"/>
          <w:highlight w:val="yellow"/>
        </w:rPr>
      </w:pPr>
    </w:p>
    <w:p w14:paraId="570F8035" w14:textId="77777777" w:rsidR="00EF055A" w:rsidRDefault="00EF055A" w:rsidP="00EF055A">
      <w:pPr>
        <w:autoSpaceDE w:val="0"/>
        <w:autoSpaceDN w:val="0"/>
        <w:adjustRightInd w:val="0"/>
        <w:spacing w:after="0" w:line="240" w:lineRule="auto"/>
        <w:ind w:right="-24"/>
        <w:jc w:val="both"/>
        <w:rPr>
          <w:rFonts w:eastAsia="Calibri" w:cs="Arial"/>
          <w:color w:val="000000"/>
          <w:szCs w:val="24"/>
        </w:rPr>
      </w:pPr>
      <w:r w:rsidRPr="002F13A3">
        <w:rPr>
          <w:rFonts w:eastAsia="Calibri" w:cs="Arial"/>
          <w:color w:val="000000"/>
          <w:szCs w:val="24"/>
        </w:rPr>
        <w:t xml:space="preserve">The value of the uncommitted transitional reserve is currently forecast to be £144.659m by the end of March 2022 providing there is no requirement for structural funding support from reserves to the 2020/21 or 2021/22 budgets. </w:t>
      </w:r>
    </w:p>
    <w:p w14:paraId="08B65D61" w14:textId="77777777" w:rsidR="00EF055A" w:rsidRDefault="00EF055A" w:rsidP="00EF055A">
      <w:pPr>
        <w:autoSpaceDE w:val="0"/>
        <w:autoSpaceDN w:val="0"/>
        <w:adjustRightInd w:val="0"/>
        <w:spacing w:after="0" w:line="240" w:lineRule="auto"/>
        <w:ind w:right="-24"/>
        <w:jc w:val="both"/>
        <w:rPr>
          <w:rFonts w:eastAsia="Calibri" w:cs="Arial"/>
          <w:color w:val="000000"/>
          <w:szCs w:val="24"/>
        </w:rPr>
      </w:pPr>
    </w:p>
    <w:p w14:paraId="572909D6" w14:textId="77777777" w:rsidR="00EF055A" w:rsidRPr="002F13A3" w:rsidRDefault="00EF055A" w:rsidP="00EF055A">
      <w:pPr>
        <w:autoSpaceDE w:val="0"/>
        <w:autoSpaceDN w:val="0"/>
        <w:adjustRightInd w:val="0"/>
        <w:spacing w:after="0" w:line="240" w:lineRule="auto"/>
        <w:ind w:right="-24"/>
        <w:jc w:val="both"/>
        <w:rPr>
          <w:rFonts w:eastAsia="Calibri" w:cs="Arial"/>
          <w:color w:val="000000"/>
          <w:szCs w:val="24"/>
        </w:rPr>
      </w:pPr>
      <w:r>
        <w:rPr>
          <w:rFonts w:eastAsia="Calibri" w:cs="Arial"/>
          <w:color w:val="000000"/>
          <w:szCs w:val="24"/>
        </w:rPr>
        <w:t xml:space="preserve">The current forecast position for 2019/20 outturn has not been reflected in the transitional reserve position.  </w:t>
      </w:r>
    </w:p>
    <w:p w14:paraId="5C6B280A" w14:textId="77777777" w:rsidR="00EF055A" w:rsidRPr="007A60AF" w:rsidRDefault="00EF055A" w:rsidP="00EF055A">
      <w:pPr>
        <w:autoSpaceDE w:val="0"/>
        <w:autoSpaceDN w:val="0"/>
        <w:adjustRightInd w:val="0"/>
        <w:spacing w:after="0" w:line="240" w:lineRule="auto"/>
        <w:ind w:right="-24"/>
        <w:jc w:val="both"/>
        <w:rPr>
          <w:rFonts w:eastAsia="Calibri" w:cs="Arial"/>
          <w:color w:val="000000"/>
          <w:szCs w:val="24"/>
          <w:highlight w:val="yellow"/>
        </w:rPr>
      </w:pPr>
    </w:p>
    <w:p w14:paraId="15EBE48C" w14:textId="77777777" w:rsidR="00EF055A" w:rsidRDefault="00EF055A" w:rsidP="00EF055A">
      <w:pPr>
        <w:autoSpaceDE w:val="0"/>
        <w:autoSpaceDN w:val="0"/>
        <w:adjustRightInd w:val="0"/>
        <w:spacing w:after="0" w:line="240" w:lineRule="auto"/>
        <w:ind w:right="-24"/>
        <w:jc w:val="both"/>
        <w:rPr>
          <w:rFonts w:eastAsia="Calibri" w:cs="Arial"/>
          <w:color w:val="000000"/>
          <w:szCs w:val="24"/>
        </w:rPr>
      </w:pPr>
      <w:r w:rsidRPr="002F13A3">
        <w:rPr>
          <w:rFonts w:eastAsia="Calibri" w:cs="Arial"/>
          <w:color w:val="000000"/>
          <w:szCs w:val="24"/>
        </w:rPr>
        <w:lastRenderedPageBreak/>
        <w:t xml:space="preserve">The transitional reserve is forecast to be sufficient to meet the identified funding gaps through to and beyond 2023/24 as set out in table </w:t>
      </w:r>
      <w:r>
        <w:rPr>
          <w:rFonts w:eastAsia="Calibri" w:cs="Arial"/>
          <w:color w:val="000000"/>
          <w:szCs w:val="24"/>
        </w:rPr>
        <w:t>6</w:t>
      </w:r>
      <w:r w:rsidRPr="002F13A3">
        <w:rPr>
          <w:rFonts w:eastAsia="Calibri" w:cs="Arial"/>
          <w:color w:val="000000"/>
          <w:szCs w:val="24"/>
        </w:rPr>
        <w:t xml:space="preserve">. However, the intention is to identify further savings to reduce the gap, and hence the call on reserves, </w:t>
      </w:r>
      <w:r>
        <w:rPr>
          <w:rFonts w:eastAsia="Calibri" w:cs="Arial"/>
          <w:color w:val="000000"/>
          <w:szCs w:val="24"/>
        </w:rPr>
        <w:t>in the future</w:t>
      </w:r>
      <w:r w:rsidRPr="002F13A3">
        <w:rPr>
          <w:rFonts w:eastAsia="Calibri" w:cs="Arial"/>
          <w:color w:val="000000"/>
          <w:szCs w:val="24"/>
        </w:rPr>
        <w:t>.</w:t>
      </w:r>
    </w:p>
    <w:p w14:paraId="15AB8B54" w14:textId="77777777" w:rsidR="00EF055A" w:rsidRDefault="00EF055A" w:rsidP="00EF055A">
      <w:pPr>
        <w:autoSpaceDE w:val="0"/>
        <w:autoSpaceDN w:val="0"/>
        <w:adjustRightInd w:val="0"/>
        <w:spacing w:after="0" w:line="240" w:lineRule="auto"/>
        <w:ind w:right="-24"/>
        <w:jc w:val="both"/>
        <w:rPr>
          <w:rFonts w:eastAsia="Calibri" w:cs="Arial"/>
          <w:color w:val="000000"/>
          <w:szCs w:val="24"/>
        </w:rPr>
      </w:pPr>
    </w:p>
    <w:p w14:paraId="710CDF64" w14:textId="77777777" w:rsidR="00EF055A" w:rsidRPr="00E656E1" w:rsidRDefault="00EF055A" w:rsidP="00EF055A">
      <w:pPr>
        <w:tabs>
          <w:tab w:val="left" w:pos="8288"/>
        </w:tabs>
        <w:spacing w:after="0"/>
        <w:jc w:val="both"/>
        <w:rPr>
          <w:rFonts w:cs="Arial"/>
          <w:b/>
          <w:szCs w:val="24"/>
          <w:u w:val="single"/>
        </w:rPr>
      </w:pPr>
      <w:r w:rsidRPr="002F13A3">
        <w:rPr>
          <w:rFonts w:eastAsia="Calibri" w:cs="Arial"/>
          <w:color w:val="000000"/>
          <w:szCs w:val="24"/>
        </w:rPr>
        <w:t xml:space="preserve">  </w:t>
      </w:r>
      <w:r w:rsidRPr="00E656E1">
        <w:rPr>
          <w:rFonts w:cs="Arial"/>
          <w:b/>
          <w:szCs w:val="24"/>
          <w:u w:val="single"/>
        </w:rPr>
        <w:t xml:space="preserve">Table </w:t>
      </w:r>
      <w:r>
        <w:rPr>
          <w:rFonts w:cs="Arial"/>
          <w:b/>
          <w:szCs w:val="24"/>
          <w:u w:val="single"/>
        </w:rPr>
        <w:t>6</w:t>
      </w:r>
    </w:p>
    <w:p w14:paraId="15E30348" w14:textId="77777777" w:rsidR="00EF055A" w:rsidRPr="007A60AF" w:rsidRDefault="00EF055A" w:rsidP="00EF055A">
      <w:pPr>
        <w:tabs>
          <w:tab w:val="left" w:pos="8288"/>
        </w:tabs>
        <w:spacing w:after="0"/>
        <w:jc w:val="both"/>
        <w:rPr>
          <w:rFonts w:cs="Arial"/>
          <w:szCs w:val="24"/>
          <w:highlight w:val="yellow"/>
        </w:rPr>
      </w:pPr>
    </w:p>
    <w:tbl>
      <w:tblPr>
        <w:tblW w:w="9286" w:type="dxa"/>
        <w:tblLook w:val="04A0" w:firstRow="1" w:lastRow="0" w:firstColumn="1" w:lastColumn="0" w:noHBand="0" w:noVBand="1"/>
      </w:tblPr>
      <w:tblGrid>
        <w:gridCol w:w="2124"/>
        <w:gridCol w:w="1790"/>
        <w:gridCol w:w="1791"/>
        <w:gridCol w:w="1790"/>
        <w:gridCol w:w="1791"/>
      </w:tblGrid>
      <w:tr w:rsidR="009C2438" w14:paraId="20FEB10D" w14:textId="77777777" w:rsidTr="00EF055A">
        <w:trPr>
          <w:trHeight w:val="329"/>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1018FB0" w14:textId="77777777" w:rsidR="00EF055A" w:rsidRPr="00AE1711" w:rsidRDefault="00EF055A" w:rsidP="00EF055A">
            <w:pPr>
              <w:spacing w:after="0" w:line="240" w:lineRule="auto"/>
              <w:rPr>
                <w:rFonts w:cs="Arial"/>
                <w:b/>
                <w:bCs/>
                <w:color w:val="000000"/>
                <w:szCs w:val="24"/>
                <w:lang w:eastAsia="en-GB"/>
              </w:rPr>
            </w:pPr>
            <w:r w:rsidRPr="00AE1711">
              <w:rPr>
                <w:rFonts w:cs="Arial"/>
                <w:b/>
                <w:bCs/>
                <w:color w:val="000000"/>
                <w:szCs w:val="24"/>
                <w:lang w:eastAsia="en-GB"/>
              </w:rPr>
              <w:t>Transitional Reserve</w:t>
            </w:r>
          </w:p>
        </w:tc>
        <w:tc>
          <w:tcPr>
            <w:tcW w:w="1790" w:type="dxa"/>
            <w:tcBorders>
              <w:top w:val="single" w:sz="8" w:space="0" w:color="auto"/>
              <w:left w:val="nil"/>
              <w:bottom w:val="single" w:sz="8" w:space="0" w:color="auto"/>
              <w:right w:val="single" w:sz="8" w:space="0" w:color="auto"/>
            </w:tcBorders>
            <w:shd w:val="clear" w:color="000000" w:fill="BFBFBF"/>
            <w:vAlign w:val="center"/>
            <w:hideMark/>
          </w:tcPr>
          <w:p w14:paraId="73F2250E" w14:textId="77777777" w:rsidR="00EF055A" w:rsidRPr="00AE1711" w:rsidRDefault="00EF055A" w:rsidP="00EF055A">
            <w:pPr>
              <w:spacing w:after="0" w:line="240" w:lineRule="auto"/>
              <w:jc w:val="center"/>
              <w:rPr>
                <w:rFonts w:cs="Arial"/>
                <w:b/>
                <w:bCs/>
                <w:color w:val="000000"/>
                <w:szCs w:val="24"/>
                <w:lang w:eastAsia="en-GB"/>
              </w:rPr>
            </w:pPr>
            <w:r w:rsidRPr="00AE1711">
              <w:rPr>
                <w:rFonts w:cs="Arial"/>
                <w:b/>
                <w:bCs/>
                <w:color w:val="000000"/>
                <w:szCs w:val="24"/>
                <w:lang w:eastAsia="en-GB"/>
              </w:rPr>
              <w:t>2020/21</w:t>
            </w:r>
          </w:p>
        </w:tc>
        <w:tc>
          <w:tcPr>
            <w:tcW w:w="1791" w:type="dxa"/>
            <w:tcBorders>
              <w:top w:val="single" w:sz="8" w:space="0" w:color="auto"/>
              <w:left w:val="nil"/>
              <w:bottom w:val="single" w:sz="8" w:space="0" w:color="auto"/>
              <w:right w:val="single" w:sz="8" w:space="0" w:color="auto"/>
            </w:tcBorders>
            <w:shd w:val="clear" w:color="000000" w:fill="BFBFBF"/>
            <w:vAlign w:val="center"/>
            <w:hideMark/>
          </w:tcPr>
          <w:p w14:paraId="2B848D49" w14:textId="77777777" w:rsidR="00EF055A" w:rsidRPr="00AE1711" w:rsidRDefault="00EF055A" w:rsidP="00EF055A">
            <w:pPr>
              <w:spacing w:after="0" w:line="240" w:lineRule="auto"/>
              <w:jc w:val="center"/>
              <w:rPr>
                <w:rFonts w:cs="Arial"/>
                <w:b/>
                <w:bCs/>
                <w:color w:val="000000"/>
                <w:szCs w:val="24"/>
                <w:lang w:eastAsia="en-GB"/>
              </w:rPr>
            </w:pPr>
            <w:r w:rsidRPr="00AE1711">
              <w:rPr>
                <w:rFonts w:cs="Arial"/>
                <w:b/>
                <w:bCs/>
                <w:color w:val="000000"/>
                <w:szCs w:val="24"/>
                <w:lang w:eastAsia="en-GB"/>
              </w:rPr>
              <w:t>2021/22</w:t>
            </w:r>
          </w:p>
        </w:tc>
        <w:tc>
          <w:tcPr>
            <w:tcW w:w="1790" w:type="dxa"/>
            <w:tcBorders>
              <w:top w:val="single" w:sz="8" w:space="0" w:color="auto"/>
              <w:left w:val="nil"/>
              <w:bottom w:val="single" w:sz="8" w:space="0" w:color="auto"/>
              <w:right w:val="single" w:sz="8" w:space="0" w:color="auto"/>
            </w:tcBorders>
            <w:shd w:val="clear" w:color="000000" w:fill="BFBFBF"/>
            <w:vAlign w:val="center"/>
            <w:hideMark/>
          </w:tcPr>
          <w:p w14:paraId="172D0576" w14:textId="77777777" w:rsidR="00EF055A" w:rsidRPr="00AE1711" w:rsidRDefault="00EF055A" w:rsidP="00EF055A">
            <w:pPr>
              <w:spacing w:after="0" w:line="240" w:lineRule="auto"/>
              <w:jc w:val="center"/>
              <w:rPr>
                <w:rFonts w:cs="Arial"/>
                <w:b/>
                <w:bCs/>
                <w:color w:val="000000"/>
                <w:szCs w:val="24"/>
                <w:lang w:eastAsia="en-GB"/>
              </w:rPr>
            </w:pPr>
            <w:r w:rsidRPr="00AE1711">
              <w:rPr>
                <w:rFonts w:cs="Arial"/>
                <w:b/>
                <w:bCs/>
                <w:color w:val="000000"/>
                <w:szCs w:val="24"/>
                <w:lang w:eastAsia="en-GB"/>
              </w:rPr>
              <w:t>2022/23</w:t>
            </w:r>
          </w:p>
        </w:tc>
        <w:tc>
          <w:tcPr>
            <w:tcW w:w="1791" w:type="dxa"/>
            <w:tcBorders>
              <w:top w:val="single" w:sz="8" w:space="0" w:color="auto"/>
              <w:left w:val="nil"/>
              <w:bottom w:val="single" w:sz="8" w:space="0" w:color="auto"/>
              <w:right w:val="single" w:sz="8" w:space="0" w:color="auto"/>
            </w:tcBorders>
            <w:shd w:val="clear" w:color="000000" w:fill="BFBFBF"/>
            <w:vAlign w:val="center"/>
          </w:tcPr>
          <w:p w14:paraId="35372E79" w14:textId="77777777" w:rsidR="00EF055A" w:rsidRPr="00AE1711" w:rsidRDefault="00EF055A" w:rsidP="00EF055A">
            <w:pPr>
              <w:spacing w:after="0" w:line="240" w:lineRule="auto"/>
              <w:jc w:val="center"/>
              <w:rPr>
                <w:rFonts w:cs="Arial"/>
                <w:b/>
                <w:bCs/>
                <w:color w:val="000000"/>
                <w:szCs w:val="24"/>
                <w:lang w:eastAsia="en-GB"/>
              </w:rPr>
            </w:pPr>
            <w:r w:rsidRPr="00AE1711">
              <w:rPr>
                <w:rFonts w:cs="Arial"/>
                <w:b/>
                <w:bCs/>
                <w:color w:val="000000"/>
                <w:szCs w:val="24"/>
                <w:lang w:eastAsia="en-GB"/>
              </w:rPr>
              <w:t>2023/24</w:t>
            </w:r>
          </w:p>
        </w:tc>
      </w:tr>
      <w:tr w:rsidR="009C2438" w14:paraId="7557837E" w14:textId="77777777" w:rsidTr="00EF055A">
        <w:trPr>
          <w:trHeight w:val="329"/>
        </w:trPr>
        <w:tc>
          <w:tcPr>
            <w:tcW w:w="2124" w:type="dxa"/>
            <w:tcBorders>
              <w:top w:val="nil"/>
              <w:left w:val="single" w:sz="8" w:space="0" w:color="auto"/>
              <w:bottom w:val="single" w:sz="8" w:space="0" w:color="auto"/>
              <w:right w:val="single" w:sz="8" w:space="0" w:color="auto"/>
            </w:tcBorders>
            <w:shd w:val="clear" w:color="auto" w:fill="auto"/>
            <w:vAlign w:val="center"/>
            <w:hideMark/>
          </w:tcPr>
          <w:p w14:paraId="65DAF213" w14:textId="77777777" w:rsidR="00EF055A" w:rsidRPr="00AE1711" w:rsidRDefault="00EF055A" w:rsidP="00EF055A">
            <w:pPr>
              <w:spacing w:after="0" w:line="240" w:lineRule="auto"/>
              <w:rPr>
                <w:rFonts w:cs="Arial"/>
                <w:b/>
                <w:bCs/>
                <w:color w:val="000000"/>
                <w:szCs w:val="24"/>
                <w:lang w:eastAsia="en-GB"/>
              </w:rPr>
            </w:pPr>
            <w:r w:rsidRPr="00AE1711">
              <w:rPr>
                <w:rFonts w:cs="Arial"/>
                <w:b/>
                <w:bCs/>
                <w:color w:val="000000"/>
                <w:szCs w:val="24"/>
                <w:lang w:eastAsia="en-GB"/>
              </w:rPr>
              <w:t>Opening Balance</w:t>
            </w:r>
          </w:p>
        </w:tc>
        <w:tc>
          <w:tcPr>
            <w:tcW w:w="1790" w:type="dxa"/>
            <w:tcBorders>
              <w:top w:val="nil"/>
              <w:left w:val="nil"/>
              <w:bottom w:val="single" w:sz="8" w:space="0" w:color="auto"/>
              <w:right w:val="single" w:sz="8" w:space="0" w:color="auto"/>
            </w:tcBorders>
            <w:shd w:val="clear" w:color="auto" w:fill="auto"/>
            <w:vAlign w:val="center"/>
            <w:hideMark/>
          </w:tcPr>
          <w:p w14:paraId="1B859F24" w14:textId="77777777" w:rsidR="00EF055A" w:rsidRPr="00AE1711" w:rsidRDefault="00EF055A" w:rsidP="00EF055A">
            <w:pPr>
              <w:spacing w:after="0" w:line="240" w:lineRule="auto"/>
              <w:jc w:val="right"/>
              <w:rPr>
                <w:rFonts w:cs="Arial"/>
                <w:color w:val="000000"/>
                <w:szCs w:val="24"/>
                <w:lang w:eastAsia="en-GB"/>
              </w:rPr>
            </w:pPr>
            <w:r w:rsidRPr="00AE1711">
              <w:rPr>
                <w:rFonts w:cs="Arial"/>
                <w:color w:val="000000"/>
                <w:szCs w:val="24"/>
                <w:lang w:eastAsia="en-GB"/>
              </w:rPr>
              <w:t>147.989</w:t>
            </w:r>
          </w:p>
        </w:tc>
        <w:tc>
          <w:tcPr>
            <w:tcW w:w="1791" w:type="dxa"/>
            <w:tcBorders>
              <w:top w:val="nil"/>
              <w:left w:val="nil"/>
              <w:bottom w:val="single" w:sz="8" w:space="0" w:color="auto"/>
              <w:right w:val="single" w:sz="8" w:space="0" w:color="auto"/>
            </w:tcBorders>
            <w:shd w:val="clear" w:color="auto" w:fill="auto"/>
            <w:vAlign w:val="center"/>
            <w:hideMark/>
          </w:tcPr>
          <w:p w14:paraId="7036F28E" w14:textId="77777777" w:rsidR="00EF055A" w:rsidRPr="006839A2" w:rsidRDefault="00EF055A" w:rsidP="00EF055A">
            <w:pPr>
              <w:spacing w:after="0" w:line="240" w:lineRule="auto"/>
              <w:jc w:val="right"/>
              <w:rPr>
                <w:rFonts w:cs="Arial"/>
                <w:color w:val="000000"/>
                <w:szCs w:val="24"/>
                <w:highlight w:val="yellow"/>
                <w:lang w:eastAsia="en-GB"/>
              </w:rPr>
            </w:pPr>
            <w:r>
              <w:rPr>
                <w:rFonts w:cs="Arial"/>
                <w:color w:val="000000"/>
              </w:rPr>
              <w:t>151.154</w:t>
            </w:r>
          </w:p>
        </w:tc>
        <w:tc>
          <w:tcPr>
            <w:tcW w:w="1790" w:type="dxa"/>
            <w:tcBorders>
              <w:top w:val="nil"/>
              <w:left w:val="nil"/>
              <w:bottom w:val="single" w:sz="8" w:space="0" w:color="auto"/>
              <w:right w:val="single" w:sz="8" w:space="0" w:color="auto"/>
            </w:tcBorders>
            <w:shd w:val="clear" w:color="auto" w:fill="auto"/>
            <w:vAlign w:val="center"/>
            <w:hideMark/>
          </w:tcPr>
          <w:p w14:paraId="0704208F" w14:textId="77777777" w:rsidR="00EF055A" w:rsidRPr="006839A2" w:rsidRDefault="00EF055A" w:rsidP="00EF055A">
            <w:pPr>
              <w:spacing w:after="0" w:line="240" w:lineRule="auto"/>
              <w:jc w:val="right"/>
              <w:rPr>
                <w:rFonts w:cs="Arial"/>
                <w:color w:val="000000"/>
                <w:szCs w:val="24"/>
                <w:highlight w:val="yellow"/>
                <w:lang w:eastAsia="en-GB"/>
              </w:rPr>
            </w:pPr>
            <w:r>
              <w:rPr>
                <w:rFonts w:cs="Arial"/>
                <w:color w:val="000000"/>
              </w:rPr>
              <w:t>149.235</w:t>
            </w:r>
          </w:p>
        </w:tc>
        <w:tc>
          <w:tcPr>
            <w:tcW w:w="1791" w:type="dxa"/>
            <w:tcBorders>
              <w:top w:val="nil"/>
              <w:left w:val="nil"/>
              <w:bottom w:val="single" w:sz="8" w:space="0" w:color="auto"/>
              <w:right w:val="single" w:sz="8" w:space="0" w:color="auto"/>
            </w:tcBorders>
            <w:vAlign w:val="center"/>
          </w:tcPr>
          <w:p w14:paraId="4461C1E0" w14:textId="77777777" w:rsidR="00EF055A" w:rsidRPr="006839A2" w:rsidRDefault="00EF055A" w:rsidP="00EF055A">
            <w:pPr>
              <w:spacing w:after="0" w:line="240" w:lineRule="auto"/>
              <w:jc w:val="right"/>
              <w:rPr>
                <w:rFonts w:cs="Arial"/>
                <w:color w:val="000000"/>
                <w:szCs w:val="24"/>
                <w:highlight w:val="yellow"/>
                <w:lang w:eastAsia="en-GB"/>
              </w:rPr>
            </w:pPr>
            <w:r>
              <w:rPr>
                <w:rFonts w:cs="Arial"/>
                <w:color w:val="000000"/>
              </w:rPr>
              <w:t>134.012</w:t>
            </w:r>
          </w:p>
        </w:tc>
      </w:tr>
      <w:tr w:rsidR="009C2438" w14:paraId="15249342" w14:textId="77777777" w:rsidTr="00EF055A">
        <w:trPr>
          <w:trHeight w:val="329"/>
        </w:trPr>
        <w:tc>
          <w:tcPr>
            <w:tcW w:w="2124" w:type="dxa"/>
            <w:tcBorders>
              <w:top w:val="nil"/>
              <w:left w:val="single" w:sz="8" w:space="0" w:color="auto"/>
              <w:bottom w:val="single" w:sz="8" w:space="0" w:color="auto"/>
              <w:right w:val="single" w:sz="8" w:space="0" w:color="auto"/>
            </w:tcBorders>
            <w:shd w:val="clear" w:color="auto" w:fill="auto"/>
            <w:vAlign w:val="center"/>
            <w:hideMark/>
          </w:tcPr>
          <w:p w14:paraId="395C5FCD" w14:textId="77777777" w:rsidR="00EF055A" w:rsidRPr="00AE1711" w:rsidRDefault="00EF055A" w:rsidP="00EF055A">
            <w:pPr>
              <w:spacing w:after="0" w:line="240" w:lineRule="auto"/>
              <w:rPr>
                <w:rFonts w:cs="Arial"/>
                <w:b/>
                <w:bCs/>
                <w:color w:val="000000"/>
                <w:szCs w:val="24"/>
                <w:lang w:eastAsia="en-GB"/>
              </w:rPr>
            </w:pPr>
            <w:r w:rsidRPr="00AE1711">
              <w:rPr>
                <w:rFonts w:cs="Arial"/>
                <w:b/>
                <w:bCs/>
                <w:color w:val="000000"/>
                <w:szCs w:val="24"/>
                <w:lang w:eastAsia="en-GB"/>
              </w:rPr>
              <w:t>Gap funding</w:t>
            </w:r>
          </w:p>
        </w:tc>
        <w:tc>
          <w:tcPr>
            <w:tcW w:w="1790" w:type="dxa"/>
            <w:tcBorders>
              <w:top w:val="nil"/>
              <w:left w:val="nil"/>
              <w:bottom w:val="single" w:sz="8" w:space="0" w:color="auto"/>
              <w:right w:val="single" w:sz="8" w:space="0" w:color="auto"/>
            </w:tcBorders>
            <w:shd w:val="clear" w:color="auto" w:fill="auto"/>
            <w:vAlign w:val="center"/>
            <w:hideMark/>
          </w:tcPr>
          <w:p w14:paraId="27D40C06" w14:textId="77777777" w:rsidR="00EF055A" w:rsidRPr="00AE1711" w:rsidRDefault="00EF055A" w:rsidP="00EF055A">
            <w:pPr>
              <w:spacing w:after="0" w:line="240" w:lineRule="auto"/>
              <w:jc w:val="right"/>
              <w:rPr>
                <w:rFonts w:cs="Arial"/>
                <w:color w:val="000000"/>
                <w:szCs w:val="24"/>
                <w:lang w:eastAsia="en-GB"/>
              </w:rPr>
            </w:pPr>
            <w:r w:rsidRPr="00AE1711">
              <w:rPr>
                <w:rFonts w:cs="Arial"/>
                <w:color w:val="000000"/>
                <w:szCs w:val="24"/>
                <w:lang w:eastAsia="en-GB"/>
              </w:rPr>
              <w:t>-6.251</w:t>
            </w:r>
          </w:p>
        </w:tc>
        <w:tc>
          <w:tcPr>
            <w:tcW w:w="1791" w:type="dxa"/>
            <w:tcBorders>
              <w:top w:val="nil"/>
              <w:left w:val="nil"/>
              <w:bottom w:val="single" w:sz="8" w:space="0" w:color="auto"/>
              <w:right w:val="single" w:sz="8" w:space="0" w:color="auto"/>
            </w:tcBorders>
            <w:shd w:val="clear" w:color="auto" w:fill="auto"/>
            <w:vAlign w:val="center"/>
            <w:hideMark/>
          </w:tcPr>
          <w:p w14:paraId="0CDDFFC6" w14:textId="77777777" w:rsidR="00EF055A" w:rsidRPr="006839A2" w:rsidRDefault="00EF055A" w:rsidP="00EF055A">
            <w:pPr>
              <w:spacing w:after="0" w:line="240" w:lineRule="auto"/>
              <w:jc w:val="right"/>
              <w:rPr>
                <w:rFonts w:cs="Arial"/>
                <w:color w:val="000000"/>
                <w:szCs w:val="24"/>
                <w:highlight w:val="yellow"/>
                <w:lang w:eastAsia="en-GB"/>
              </w:rPr>
            </w:pPr>
            <w:r>
              <w:rPr>
                <w:rFonts w:cs="Arial"/>
                <w:color w:val="000000"/>
              </w:rPr>
              <w:t>1.675</w:t>
            </w:r>
          </w:p>
        </w:tc>
        <w:tc>
          <w:tcPr>
            <w:tcW w:w="1790" w:type="dxa"/>
            <w:tcBorders>
              <w:top w:val="nil"/>
              <w:left w:val="nil"/>
              <w:bottom w:val="single" w:sz="8" w:space="0" w:color="auto"/>
              <w:right w:val="single" w:sz="8" w:space="0" w:color="auto"/>
            </w:tcBorders>
            <w:shd w:val="clear" w:color="auto" w:fill="auto"/>
            <w:vAlign w:val="center"/>
            <w:hideMark/>
          </w:tcPr>
          <w:p w14:paraId="3BAA0E3F" w14:textId="77777777" w:rsidR="00EF055A" w:rsidRPr="006839A2" w:rsidRDefault="00EF055A" w:rsidP="00EF055A">
            <w:pPr>
              <w:spacing w:after="0" w:line="240" w:lineRule="auto"/>
              <w:jc w:val="right"/>
              <w:rPr>
                <w:rFonts w:cs="Arial"/>
                <w:color w:val="000000"/>
                <w:szCs w:val="24"/>
                <w:highlight w:val="yellow"/>
                <w:lang w:eastAsia="en-GB"/>
              </w:rPr>
            </w:pPr>
            <w:r>
              <w:rPr>
                <w:rFonts w:cs="Arial"/>
                <w:color w:val="000000"/>
              </w:rPr>
              <w:t>15.223</w:t>
            </w:r>
          </w:p>
        </w:tc>
        <w:tc>
          <w:tcPr>
            <w:tcW w:w="1791" w:type="dxa"/>
            <w:tcBorders>
              <w:top w:val="nil"/>
              <w:left w:val="nil"/>
              <w:bottom w:val="single" w:sz="8" w:space="0" w:color="auto"/>
              <w:right w:val="single" w:sz="8" w:space="0" w:color="auto"/>
            </w:tcBorders>
            <w:vAlign w:val="center"/>
          </w:tcPr>
          <w:p w14:paraId="05F14D06" w14:textId="77777777" w:rsidR="00EF055A" w:rsidRPr="006839A2" w:rsidRDefault="00EF055A" w:rsidP="00EF055A">
            <w:pPr>
              <w:spacing w:after="0" w:line="240" w:lineRule="auto"/>
              <w:jc w:val="right"/>
              <w:rPr>
                <w:rFonts w:cs="Arial"/>
                <w:color w:val="000000"/>
                <w:szCs w:val="24"/>
                <w:highlight w:val="yellow"/>
                <w:lang w:eastAsia="en-GB"/>
              </w:rPr>
            </w:pPr>
            <w:r>
              <w:rPr>
                <w:rFonts w:cs="Arial"/>
                <w:color w:val="000000"/>
              </w:rPr>
              <w:t>33.299</w:t>
            </w:r>
          </w:p>
        </w:tc>
      </w:tr>
      <w:tr w:rsidR="009C2438" w14:paraId="5D7BDBE3" w14:textId="77777777" w:rsidTr="00EF055A">
        <w:trPr>
          <w:trHeight w:val="329"/>
        </w:trPr>
        <w:tc>
          <w:tcPr>
            <w:tcW w:w="2124" w:type="dxa"/>
            <w:tcBorders>
              <w:top w:val="nil"/>
              <w:left w:val="single" w:sz="8" w:space="0" w:color="auto"/>
              <w:bottom w:val="single" w:sz="8" w:space="0" w:color="auto"/>
              <w:right w:val="single" w:sz="8" w:space="0" w:color="auto"/>
            </w:tcBorders>
            <w:shd w:val="clear" w:color="auto" w:fill="auto"/>
            <w:vAlign w:val="center"/>
            <w:hideMark/>
          </w:tcPr>
          <w:p w14:paraId="373207AB" w14:textId="77777777" w:rsidR="00EF055A" w:rsidRPr="00AE1711" w:rsidRDefault="00EF055A" w:rsidP="00EF055A">
            <w:pPr>
              <w:spacing w:after="0" w:line="240" w:lineRule="auto"/>
              <w:rPr>
                <w:rFonts w:cs="Arial"/>
                <w:b/>
                <w:bCs/>
                <w:color w:val="000000"/>
                <w:szCs w:val="24"/>
                <w:lang w:eastAsia="en-GB"/>
              </w:rPr>
            </w:pPr>
            <w:r w:rsidRPr="00AE1711">
              <w:rPr>
                <w:rFonts w:cs="Arial"/>
                <w:b/>
                <w:bCs/>
                <w:color w:val="000000"/>
                <w:szCs w:val="24"/>
                <w:lang w:eastAsia="en-GB"/>
              </w:rPr>
              <w:t>Commitments</w:t>
            </w:r>
          </w:p>
        </w:tc>
        <w:tc>
          <w:tcPr>
            <w:tcW w:w="1790" w:type="dxa"/>
            <w:tcBorders>
              <w:top w:val="nil"/>
              <w:left w:val="nil"/>
              <w:bottom w:val="single" w:sz="8" w:space="0" w:color="auto"/>
              <w:right w:val="single" w:sz="8" w:space="0" w:color="auto"/>
            </w:tcBorders>
            <w:shd w:val="clear" w:color="auto" w:fill="auto"/>
            <w:vAlign w:val="center"/>
            <w:hideMark/>
          </w:tcPr>
          <w:p w14:paraId="155D09E9" w14:textId="77777777" w:rsidR="00EF055A" w:rsidRPr="00AE1711" w:rsidRDefault="00EF055A" w:rsidP="00EF055A">
            <w:pPr>
              <w:spacing w:after="0" w:line="240" w:lineRule="auto"/>
              <w:jc w:val="right"/>
              <w:rPr>
                <w:rFonts w:cs="Arial"/>
                <w:color w:val="000000"/>
                <w:szCs w:val="24"/>
                <w:lang w:eastAsia="en-GB"/>
              </w:rPr>
            </w:pPr>
            <w:r w:rsidRPr="00AE1711">
              <w:rPr>
                <w:rFonts w:cs="Arial"/>
                <w:color w:val="000000"/>
                <w:szCs w:val="24"/>
                <w:lang w:eastAsia="en-GB"/>
              </w:rPr>
              <w:t>3.086</w:t>
            </w:r>
          </w:p>
        </w:tc>
        <w:tc>
          <w:tcPr>
            <w:tcW w:w="1791" w:type="dxa"/>
            <w:tcBorders>
              <w:top w:val="nil"/>
              <w:left w:val="nil"/>
              <w:bottom w:val="single" w:sz="8" w:space="0" w:color="auto"/>
              <w:right w:val="single" w:sz="8" w:space="0" w:color="auto"/>
            </w:tcBorders>
            <w:shd w:val="clear" w:color="auto" w:fill="auto"/>
            <w:vAlign w:val="center"/>
            <w:hideMark/>
          </w:tcPr>
          <w:p w14:paraId="2D51DA81" w14:textId="77777777" w:rsidR="00EF055A" w:rsidRPr="006839A2" w:rsidRDefault="00EF055A" w:rsidP="00EF055A">
            <w:pPr>
              <w:spacing w:after="0" w:line="240" w:lineRule="auto"/>
              <w:jc w:val="right"/>
              <w:rPr>
                <w:rFonts w:cs="Arial"/>
                <w:color w:val="000000"/>
                <w:szCs w:val="24"/>
                <w:highlight w:val="yellow"/>
                <w:lang w:eastAsia="en-GB"/>
              </w:rPr>
            </w:pPr>
            <w:r>
              <w:rPr>
                <w:rFonts w:cs="Arial"/>
                <w:color w:val="000000"/>
              </w:rPr>
              <w:t>0.244</w:t>
            </w:r>
          </w:p>
        </w:tc>
        <w:tc>
          <w:tcPr>
            <w:tcW w:w="1790" w:type="dxa"/>
            <w:tcBorders>
              <w:top w:val="nil"/>
              <w:left w:val="nil"/>
              <w:bottom w:val="single" w:sz="8" w:space="0" w:color="auto"/>
              <w:right w:val="single" w:sz="8" w:space="0" w:color="auto"/>
            </w:tcBorders>
            <w:shd w:val="clear" w:color="auto" w:fill="auto"/>
            <w:vAlign w:val="center"/>
            <w:hideMark/>
          </w:tcPr>
          <w:p w14:paraId="38385CCF" w14:textId="77777777" w:rsidR="00EF055A" w:rsidRPr="006839A2" w:rsidRDefault="00EF055A" w:rsidP="00EF055A">
            <w:pPr>
              <w:spacing w:after="0" w:line="240" w:lineRule="auto"/>
              <w:jc w:val="right"/>
              <w:rPr>
                <w:rFonts w:cs="Arial"/>
                <w:color w:val="000000"/>
                <w:szCs w:val="24"/>
                <w:highlight w:val="yellow"/>
                <w:lang w:eastAsia="en-GB"/>
              </w:rPr>
            </w:pPr>
            <w:r>
              <w:rPr>
                <w:rFonts w:cs="Arial"/>
                <w:color w:val="000000"/>
              </w:rPr>
              <w:t>0.000</w:t>
            </w:r>
          </w:p>
        </w:tc>
        <w:tc>
          <w:tcPr>
            <w:tcW w:w="1791" w:type="dxa"/>
            <w:tcBorders>
              <w:top w:val="nil"/>
              <w:left w:val="nil"/>
              <w:bottom w:val="single" w:sz="8" w:space="0" w:color="auto"/>
              <w:right w:val="single" w:sz="8" w:space="0" w:color="auto"/>
            </w:tcBorders>
            <w:vAlign w:val="center"/>
          </w:tcPr>
          <w:p w14:paraId="654D31C9" w14:textId="77777777" w:rsidR="00EF055A" w:rsidRPr="006839A2" w:rsidRDefault="00EF055A" w:rsidP="00EF055A">
            <w:pPr>
              <w:spacing w:after="0" w:line="240" w:lineRule="auto"/>
              <w:jc w:val="right"/>
              <w:rPr>
                <w:rFonts w:cs="Arial"/>
                <w:color w:val="000000"/>
                <w:szCs w:val="24"/>
                <w:highlight w:val="yellow"/>
                <w:lang w:eastAsia="en-GB"/>
              </w:rPr>
            </w:pPr>
            <w:r>
              <w:rPr>
                <w:rFonts w:cs="Arial"/>
                <w:color w:val="000000"/>
              </w:rPr>
              <w:t>0.000</w:t>
            </w:r>
          </w:p>
        </w:tc>
      </w:tr>
      <w:tr w:rsidR="009C2438" w14:paraId="56191858" w14:textId="77777777" w:rsidTr="00EF055A">
        <w:trPr>
          <w:trHeight w:val="329"/>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73AF7492" w14:textId="77777777" w:rsidR="00EF055A" w:rsidRPr="00AE1711" w:rsidRDefault="00EF055A" w:rsidP="00EF055A">
            <w:pPr>
              <w:spacing w:after="0" w:line="240" w:lineRule="auto"/>
              <w:rPr>
                <w:rFonts w:cs="Arial"/>
                <w:b/>
                <w:bCs/>
                <w:color w:val="000000"/>
                <w:szCs w:val="24"/>
                <w:lang w:eastAsia="en-GB"/>
              </w:rPr>
            </w:pPr>
            <w:r w:rsidRPr="00AE1711">
              <w:rPr>
                <w:rFonts w:cs="Arial"/>
                <w:b/>
                <w:bCs/>
                <w:color w:val="000000"/>
                <w:szCs w:val="24"/>
                <w:lang w:eastAsia="en-GB"/>
              </w:rPr>
              <w:t>Closing balance</w:t>
            </w:r>
          </w:p>
        </w:tc>
        <w:tc>
          <w:tcPr>
            <w:tcW w:w="1790" w:type="dxa"/>
            <w:tcBorders>
              <w:top w:val="nil"/>
              <w:left w:val="nil"/>
              <w:bottom w:val="single" w:sz="8" w:space="0" w:color="auto"/>
              <w:right w:val="single" w:sz="8" w:space="0" w:color="auto"/>
            </w:tcBorders>
            <w:shd w:val="clear" w:color="000000" w:fill="BFBFBF"/>
            <w:vAlign w:val="center"/>
            <w:hideMark/>
          </w:tcPr>
          <w:p w14:paraId="2D17EE77" w14:textId="77777777" w:rsidR="00EF055A" w:rsidRPr="00AE1711" w:rsidRDefault="00EF055A" w:rsidP="00EF055A">
            <w:pPr>
              <w:spacing w:after="0" w:line="240" w:lineRule="auto"/>
              <w:jc w:val="right"/>
              <w:rPr>
                <w:rFonts w:cs="Arial"/>
                <w:b/>
                <w:bCs/>
                <w:color w:val="000000"/>
                <w:szCs w:val="24"/>
                <w:lang w:eastAsia="en-GB"/>
              </w:rPr>
            </w:pPr>
            <w:r w:rsidRPr="00AE1711">
              <w:rPr>
                <w:rFonts w:cs="Arial"/>
                <w:b/>
                <w:bCs/>
                <w:color w:val="000000"/>
                <w:szCs w:val="24"/>
                <w:lang w:eastAsia="en-GB"/>
              </w:rPr>
              <w:t>151.154</w:t>
            </w:r>
          </w:p>
        </w:tc>
        <w:tc>
          <w:tcPr>
            <w:tcW w:w="1791" w:type="dxa"/>
            <w:tcBorders>
              <w:top w:val="nil"/>
              <w:left w:val="nil"/>
              <w:bottom w:val="single" w:sz="8" w:space="0" w:color="auto"/>
              <w:right w:val="single" w:sz="8" w:space="0" w:color="auto"/>
            </w:tcBorders>
            <w:shd w:val="clear" w:color="000000" w:fill="BFBFBF"/>
            <w:vAlign w:val="center"/>
            <w:hideMark/>
          </w:tcPr>
          <w:p w14:paraId="0A241497" w14:textId="77777777" w:rsidR="00EF055A" w:rsidRPr="006839A2" w:rsidRDefault="00EF055A" w:rsidP="00EF055A">
            <w:pPr>
              <w:spacing w:after="0" w:line="240" w:lineRule="auto"/>
              <w:jc w:val="right"/>
              <w:rPr>
                <w:rFonts w:cs="Arial"/>
                <w:b/>
                <w:bCs/>
                <w:color w:val="000000"/>
                <w:szCs w:val="24"/>
                <w:highlight w:val="yellow"/>
                <w:lang w:eastAsia="en-GB"/>
              </w:rPr>
            </w:pPr>
            <w:r>
              <w:rPr>
                <w:rFonts w:cs="Arial"/>
                <w:b/>
                <w:bCs/>
                <w:color w:val="000000"/>
              </w:rPr>
              <w:t>149.235</w:t>
            </w:r>
          </w:p>
        </w:tc>
        <w:tc>
          <w:tcPr>
            <w:tcW w:w="1790" w:type="dxa"/>
            <w:tcBorders>
              <w:top w:val="nil"/>
              <w:left w:val="nil"/>
              <w:bottom w:val="single" w:sz="8" w:space="0" w:color="auto"/>
              <w:right w:val="single" w:sz="8" w:space="0" w:color="auto"/>
            </w:tcBorders>
            <w:shd w:val="clear" w:color="000000" w:fill="BFBFBF"/>
            <w:vAlign w:val="center"/>
            <w:hideMark/>
          </w:tcPr>
          <w:p w14:paraId="253691AA" w14:textId="77777777" w:rsidR="00EF055A" w:rsidRPr="006839A2" w:rsidRDefault="00EF055A" w:rsidP="00EF055A">
            <w:pPr>
              <w:spacing w:after="0" w:line="240" w:lineRule="auto"/>
              <w:jc w:val="right"/>
              <w:rPr>
                <w:rFonts w:cs="Arial"/>
                <w:b/>
                <w:bCs/>
                <w:color w:val="000000"/>
                <w:szCs w:val="24"/>
                <w:highlight w:val="yellow"/>
                <w:lang w:eastAsia="en-GB"/>
              </w:rPr>
            </w:pPr>
            <w:r>
              <w:rPr>
                <w:rFonts w:cs="Arial"/>
                <w:b/>
                <w:bCs/>
                <w:color w:val="000000"/>
              </w:rPr>
              <w:t>134.012</w:t>
            </w:r>
          </w:p>
        </w:tc>
        <w:tc>
          <w:tcPr>
            <w:tcW w:w="1791" w:type="dxa"/>
            <w:tcBorders>
              <w:top w:val="nil"/>
              <w:left w:val="nil"/>
              <w:bottom w:val="single" w:sz="8" w:space="0" w:color="auto"/>
              <w:right w:val="single" w:sz="8" w:space="0" w:color="auto"/>
            </w:tcBorders>
            <w:shd w:val="clear" w:color="000000" w:fill="BFBFBF"/>
            <w:vAlign w:val="center"/>
          </w:tcPr>
          <w:p w14:paraId="397EF210" w14:textId="77777777" w:rsidR="00EF055A" w:rsidRPr="006839A2" w:rsidRDefault="00EF055A" w:rsidP="00EF055A">
            <w:pPr>
              <w:spacing w:after="0" w:line="240" w:lineRule="auto"/>
              <w:jc w:val="right"/>
              <w:rPr>
                <w:rFonts w:cs="Arial"/>
                <w:b/>
                <w:bCs/>
                <w:color w:val="000000"/>
                <w:szCs w:val="24"/>
                <w:highlight w:val="yellow"/>
                <w:lang w:eastAsia="en-GB"/>
              </w:rPr>
            </w:pPr>
            <w:r>
              <w:rPr>
                <w:rFonts w:cs="Arial"/>
                <w:b/>
                <w:bCs/>
                <w:color w:val="000000"/>
              </w:rPr>
              <w:t>100.713</w:t>
            </w:r>
          </w:p>
        </w:tc>
      </w:tr>
    </w:tbl>
    <w:p w14:paraId="1BC7BB37" w14:textId="77777777" w:rsidR="00EF055A" w:rsidRPr="002F13A3" w:rsidRDefault="00EF055A" w:rsidP="00EF055A">
      <w:pPr>
        <w:autoSpaceDE w:val="0"/>
        <w:autoSpaceDN w:val="0"/>
        <w:adjustRightInd w:val="0"/>
        <w:spacing w:after="0" w:line="240" w:lineRule="auto"/>
        <w:ind w:right="-24"/>
        <w:jc w:val="both"/>
        <w:rPr>
          <w:rFonts w:eastAsia="Calibri" w:cs="Arial"/>
          <w:color w:val="000000"/>
          <w:szCs w:val="24"/>
        </w:rPr>
      </w:pPr>
    </w:p>
    <w:p w14:paraId="514BDBF8" w14:textId="64ACD4A5" w:rsidR="007B7808" w:rsidRDefault="007B7808" w:rsidP="00EF055A">
      <w:pPr>
        <w:spacing w:after="0"/>
        <w:jc w:val="both"/>
        <w:rPr>
          <w:rFonts w:cs="Arial"/>
          <w:szCs w:val="24"/>
        </w:rPr>
      </w:pPr>
      <w:r w:rsidRPr="00647FF8">
        <w:rPr>
          <w:rFonts w:cs="Arial"/>
          <w:szCs w:val="24"/>
        </w:rPr>
        <w:t xml:space="preserve">Whilst the forecast for 2020/21 shows available resources of £6.251m </w:t>
      </w:r>
      <w:r w:rsidR="00647FF8" w:rsidRPr="00647FF8">
        <w:rPr>
          <w:rFonts w:cs="Arial"/>
          <w:szCs w:val="24"/>
        </w:rPr>
        <w:t>there is currently a forecast provision to utilise these resources in 2020/21 to support the organisational improvement journey review work which is currently underway</w:t>
      </w:r>
      <w:r w:rsidR="00647FF8">
        <w:rPr>
          <w:rFonts w:cs="Arial"/>
          <w:szCs w:val="24"/>
        </w:rPr>
        <w:t>.</w:t>
      </w:r>
    </w:p>
    <w:p w14:paraId="5566A604" w14:textId="77777777" w:rsidR="00647FF8" w:rsidRPr="00647FF8" w:rsidRDefault="00647FF8" w:rsidP="00EF055A">
      <w:pPr>
        <w:spacing w:after="0"/>
        <w:jc w:val="both"/>
        <w:rPr>
          <w:rFonts w:cs="Arial"/>
          <w:szCs w:val="24"/>
        </w:rPr>
      </w:pPr>
    </w:p>
    <w:p w14:paraId="5BFE2505" w14:textId="77777777" w:rsidR="00EF055A" w:rsidRPr="00E656E1" w:rsidRDefault="00EF055A" w:rsidP="00EF055A">
      <w:pPr>
        <w:spacing w:after="0"/>
        <w:jc w:val="both"/>
        <w:rPr>
          <w:rFonts w:cs="Arial"/>
          <w:b/>
          <w:szCs w:val="24"/>
        </w:rPr>
      </w:pPr>
      <w:r w:rsidRPr="00E656E1">
        <w:rPr>
          <w:rFonts w:cs="Arial"/>
          <w:b/>
          <w:szCs w:val="24"/>
        </w:rPr>
        <w:t>5. The Overall Revenue Budget Position for 2020/21</w:t>
      </w:r>
    </w:p>
    <w:p w14:paraId="3FDF2ACD" w14:textId="77777777" w:rsidR="00EF055A" w:rsidRPr="007A60AF" w:rsidRDefault="00EF055A" w:rsidP="00EF055A">
      <w:pPr>
        <w:pStyle w:val="NoSpacing"/>
        <w:spacing w:line="276" w:lineRule="auto"/>
        <w:jc w:val="both"/>
        <w:rPr>
          <w:rFonts w:ascii="Arial" w:hAnsi="Arial" w:cs="Arial"/>
          <w:highlight w:val="yellow"/>
        </w:rPr>
      </w:pPr>
    </w:p>
    <w:p w14:paraId="6F79C938" w14:textId="77777777" w:rsidR="00EF055A" w:rsidRPr="0000740E" w:rsidRDefault="00EF055A" w:rsidP="00EF055A">
      <w:pPr>
        <w:spacing w:after="0"/>
        <w:jc w:val="both"/>
        <w:rPr>
          <w:rFonts w:cs="Arial"/>
          <w:i/>
          <w:szCs w:val="24"/>
        </w:rPr>
      </w:pPr>
      <w:r w:rsidRPr="0000740E">
        <w:rPr>
          <w:rFonts w:cs="Arial"/>
          <w:i/>
          <w:szCs w:val="24"/>
        </w:rPr>
        <w:t>5.1 Summary of cabinet's revenue budget proposals</w:t>
      </w:r>
    </w:p>
    <w:p w14:paraId="2E2965E0" w14:textId="77777777" w:rsidR="00EF055A" w:rsidRPr="0000740E" w:rsidRDefault="00EF055A" w:rsidP="00EF055A">
      <w:pPr>
        <w:spacing w:after="0"/>
        <w:jc w:val="both"/>
        <w:rPr>
          <w:rFonts w:cs="Arial"/>
          <w:i/>
          <w:szCs w:val="24"/>
        </w:rPr>
      </w:pPr>
    </w:p>
    <w:p w14:paraId="05361806" w14:textId="77777777" w:rsidR="00EF055A" w:rsidRPr="007A60AF" w:rsidRDefault="00EF055A" w:rsidP="00EF055A">
      <w:pPr>
        <w:spacing w:after="0"/>
        <w:jc w:val="both"/>
        <w:rPr>
          <w:rFonts w:cs="Arial"/>
          <w:szCs w:val="24"/>
          <w:highlight w:val="yellow"/>
        </w:rPr>
      </w:pPr>
      <w:r w:rsidRPr="0000740E">
        <w:rPr>
          <w:rFonts w:cs="Arial"/>
          <w:szCs w:val="24"/>
        </w:rPr>
        <w:t xml:space="preserve">The overall impact of the cabinet's recommendations to full council for the 2020/21 revenue budget and the potential changes are set out in </w:t>
      </w:r>
      <w:r w:rsidRPr="00C44952">
        <w:rPr>
          <w:rFonts w:cs="Arial"/>
          <w:szCs w:val="24"/>
        </w:rPr>
        <w:t xml:space="preserve">Table </w:t>
      </w:r>
      <w:r>
        <w:rPr>
          <w:rFonts w:cs="Arial"/>
          <w:szCs w:val="24"/>
        </w:rPr>
        <w:t>7</w:t>
      </w:r>
      <w:r w:rsidRPr="00C44952">
        <w:rPr>
          <w:rFonts w:cs="Arial"/>
          <w:szCs w:val="24"/>
        </w:rPr>
        <w:t>.</w:t>
      </w:r>
    </w:p>
    <w:p w14:paraId="074442E6" w14:textId="77777777" w:rsidR="00EF055A" w:rsidRPr="007A60AF" w:rsidRDefault="00EF055A" w:rsidP="00EF055A">
      <w:pPr>
        <w:spacing w:after="0"/>
        <w:jc w:val="both"/>
        <w:rPr>
          <w:rFonts w:cs="Arial"/>
          <w:szCs w:val="24"/>
          <w:highlight w:val="yellow"/>
        </w:rPr>
      </w:pPr>
    </w:p>
    <w:p w14:paraId="60C7252E" w14:textId="77777777" w:rsidR="00EF055A" w:rsidRPr="0000740E" w:rsidRDefault="00EF055A" w:rsidP="00EF055A">
      <w:pPr>
        <w:spacing w:after="0"/>
        <w:jc w:val="both"/>
        <w:rPr>
          <w:rFonts w:cs="Arial"/>
          <w:szCs w:val="24"/>
        </w:rPr>
      </w:pPr>
      <w:r w:rsidRPr="0000740E">
        <w:rPr>
          <w:rFonts w:cs="Arial"/>
          <w:szCs w:val="24"/>
        </w:rPr>
        <w:t>The table reflects the following:</w:t>
      </w:r>
    </w:p>
    <w:p w14:paraId="52EA3552" w14:textId="77777777" w:rsidR="00EF055A" w:rsidRPr="0000740E" w:rsidRDefault="00EF055A" w:rsidP="00EF055A">
      <w:pPr>
        <w:spacing w:after="0"/>
        <w:jc w:val="both"/>
        <w:rPr>
          <w:rFonts w:cs="Arial"/>
          <w:szCs w:val="24"/>
        </w:rPr>
      </w:pPr>
    </w:p>
    <w:p w14:paraId="7E0C5BEF" w14:textId="77777777" w:rsidR="00EF055A" w:rsidRPr="0000740E" w:rsidRDefault="00EF055A" w:rsidP="00EF055A">
      <w:pPr>
        <w:pStyle w:val="ListParagraph"/>
        <w:numPr>
          <w:ilvl w:val="0"/>
          <w:numId w:val="6"/>
        </w:numPr>
        <w:spacing w:after="0"/>
        <w:ind w:left="284" w:hanging="284"/>
        <w:jc w:val="both"/>
        <w:rPr>
          <w:rFonts w:cs="Arial"/>
          <w:szCs w:val="24"/>
        </w:rPr>
      </w:pPr>
      <w:r w:rsidRPr="0000740E">
        <w:rPr>
          <w:rFonts w:cs="Arial"/>
          <w:szCs w:val="24"/>
        </w:rPr>
        <w:t>impact of further cost pressures;</w:t>
      </w:r>
    </w:p>
    <w:p w14:paraId="3B2FD52A" w14:textId="77777777" w:rsidR="00EF055A" w:rsidRPr="0000740E" w:rsidRDefault="00EF055A" w:rsidP="00EF055A">
      <w:pPr>
        <w:pStyle w:val="ListParagraph"/>
        <w:spacing w:after="0"/>
        <w:ind w:left="284"/>
        <w:jc w:val="both"/>
        <w:rPr>
          <w:rFonts w:cs="Arial"/>
          <w:szCs w:val="24"/>
        </w:rPr>
      </w:pPr>
      <w:r w:rsidRPr="0000740E">
        <w:rPr>
          <w:rFonts w:cs="Arial"/>
          <w:szCs w:val="24"/>
        </w:rPr>
        <w:t xml:space="preserve"> </w:t>
      </w:r>
    </w:p>
    <w:p w14:paraId="3511711E" w14:textId="77777777" w:rsidR="00EF055A" w:rsidRPr="0000740E" w:rsidRDefault="00EF055A" w:rsidP="00EF055A">
      <w:pPr>
        <w:pStyle w:val="ListParagraph"/>
        <w:numPr>
          <w:ilvl w:val="0"/>
          <w:numId w:val="6"/>
        </w:numPr>
        <w:spacing w:after="0"/>
        <w:ind w:left="284" w:hanging="284"/>
        <w:jc w:val="both"/>
        <w:rPr>
          <w:rFonts w:cs="Arial"/>
          <w:szCs w:val="24"/>
        </w:rPr>
      </w:pPr>
      <w:r w:rsidRPr="0000740E">
        <w:rPr>
          <w:rFonts w:cs="Arial"/>
          <w:szCs w:val="24"/>
        </w:rPr>
        <w:t>changes in the level of resources that are currently known;</w:t>
      </w:r>
    </w:p>
    <w:p w14:paraId="792D62F6" w14:textId="77777777" w:rsidR="00EF055A" w:rsidRPr="0000740E" w:rsidRDefault="00EF055A" w:rsidP="00EF055A">
      <w:pPr>
        <w:pStyle w:val="ListParagraph"/>
        <w:spacing w:after="0"/>
        <w:ind w:left="284"/>
        <w:jc w:val="both"/>
        <w:rPr>
          <w:rFonts w:cs="Arial"/>
          <w:szCs w:val="24"/>
        </w:rPr>
      </w:pPr>
    </w:p>
    <w:p w14:paraId="5D3A7A1E" w14:textId="77777777" w:rsidR="00EF055A" w:rsidRPr="0000740E" w:rsidRDefault="00EF055A" w:rsidP="00EF055A">
      <w:pPr>
        <w:pStyle w:val="ListParagraph"/>
        <w:numPr>
          <w:ilvl w:val="0"/>
          <w:numId w:val="6"/>
        </w:numPr>
        <w:spacing w:after="0"/>
        <w:ind w:left="284" w:hanging="284"/>
        <w:jc w:val="both"/>
        <w:rPr>
          <w:rFonts w:cs="Arial"/>
          <w:szCs w:val="24"/>
        </w:rPr>
      </w:pPr>
      <w:r w:rsidRPr="0000740E">
        <w:rPr>
          <w:rFonts w:cs="Arial"/>
          <w:szCs w:val="24"/>
        </w:rPr>
        <w:t>the cabinet's recommendation of a council tax increase of 3.99% in 2020/21;</w:t>
      </w:r>
      <w:r w:rsidRPr="00994607">
        <w:rPr>
          <w:rFonts w:cs="Arial"/>
          <w:szCs w:val="24"/>
        </w:rPr>
        <w:t xml:space="preserve"> and</w:t>
      </w:r>
    </w:p>
    <w:p w14:paraId="276BA964" w14:textId="77777777" w:rsidR="00EF055A" w:rsidRPr="00CE65F0" w:rsidRDefault="00EF055A" w:rsidP="00EF055A">
      <w:pPr>
        <w:spacing w:after="0"/>
        <w:jc w:val="both"/>
        <w:rPr>
          <w:rFonts w:cs="Arial"/>
          <w:szCs w:val="24"/>
        </w:rPr>
      </w:pPr>
    </w:p>
    <w:p w14:paraId="684E28A8" w14:textId="77777777" w:rsidR="00EF055A" w:rsidRPr="00CE65F0" w:rsidRDefault="00EF055A" w:rsidP="00EF055A">
      <w:pPr>
        <w:pStyle w:val="ListParagraph"/>
        <w:numPr>
          <w:ilvl w:val="0"/>
          <w:numId w:val="6"/>
        </w:numPr>
        <w:spacing w:after="0"/>
        <w:ind w:left="284" w:hanging="284"/>
        <w:jc w:val="both"/>
        <w:rPr>
          <w:rFonts w:cs="Arial"/>
          <w:szCs w:val="24"/>
        </w:rPr>
      </w:pPr>
      <w:proofErr w:type="gramStart"/>
      <w:r w:rsidRPr="00CE65F0">
        <w:rPr>
          <w:rFonts w:cs="Arial"/>
          <w:szCs w:val="24"/>
        </w:rPr>
        <w:t>the</w:t>
      </w:r>
      <w:proofErr w:type="gramEnd"/>
      <w:r w:rsidRPr="00CE65F0">
        <w:rPr>
          <w:rFonts w:cs="Arial"/>
          <w:szCs w:val="24"/>
        </w:rPr>
        <w:t xml:space="preserve"> provision of estimated figures by the city and borough councils in respect of council tax base and business rates income.</w:t>
      </w:r>
    </w:p>
    <w:p w14:paraId="197AB23D" w14:textId="77777777" w:rsidR="00EF055A" w:rsidRPr="007A60AF" w:rsidRDefault="00EF055A" w:rsidP="00EF055A">
      <w:pPr>
        <w:spacing w:after="0"/>
        <w:rPr>
          <w:rFonts w:cs="Arial"/>
          <w:b/>
          <w:szCs w:val="24"/>
          <w:highlight w:val="yellow"/>
          <w:u w:val="single"/>
        </w:rPr>
      </w:pPr>
    </w:p>
    <w:p w14:paraId="131495A5" w14:textId="77777777" w:rsidR="00EF055A" w:rsidRPr="007A60AF" w:rsidRDefault="00EF055A" w:rsidP="00EF055A">
      <w:pPr>
        <w:spacing w:after="0"/>
        <w:rPr>
          <w:rFonts w:cs="Arial"/>
          <w:b/>
          <w:szCs w:val="24"/>
          <w:highlight w:val="yellow"/>
          <w:u w:val="single"/>
        </w:rPr>
      </w:pPr>
    </w:p>
    <w:p w14:paraId="17BD995C" w14:textId="77777777" w:rsidR="00EF055A" w:rsidRPr="007A60AF" w:rsidRDefault="00EF055A" w:rsidP="00EF055A">
      <w:pPr>
        <w:spacing w:after="0"/>
        <w:rPr>
          <w:rFonts w:cs="Arial"/>
          <w:b/>
          <w:szCs w:val="24"/>
          <w:highlight w:val="yellow"/>
          <w:u w:val="single"/>
        </w:rPr>
      </w:pPr>
    </w:p>
    <w:p w14:paraId="5FB11DA9" w14:textId="77777777" w:rsidR="00EF055A" w:rsidRPr="007A60AF" w:rsidRDefault="00EF055A" w:rsidP="00EF055A">
      <w:pPr>
        <w:spacing w:after="0"/>
        <w:rPr>
          <w:rFonts w:cs="Arial"/>
          <w:b/>
          <w:szCs w:val="24"/>
          <w:highlight w:val="yellow"/>
          <w:u w:val="single"/>
        </w:rPr>
      </w:pPr>
    </w:p>
    <w:p w14:paraId="28CBC1ED" w14:textId="77777777" w:rsidR="00EF055A" w:rsidRPr="007A60AF" w:rsidRDefault="00EF055A" w:rsidP="00EF055A">
      <w:pPr>
        <w:spacing w:after="0"/>
        <w:rPr>
          <w:rFonts w:cs="Arial"/>
          <w:b/>
          <w:szCs w:val="24"/>
          <w:highlight w:val="yellow"/>
          <w:u w:val="single"/>
        </w:rPr>
      </w:pPr>
    </w:p>
    <w:p w14:paraId="2BDB594C" w14:textId="77777777" w:rsidR="00EF055A" w:rsidRPr="007A60AF" w:rsidRDefault="00EF055A" w:rsidP="00EF055A">
      <w:pPr>
        <w:spacing w:after="0"/>
        <w:rPr>
          <w:rFonts w:cs="Arial"/>
          <w:b/>
          <w:szCs w:val="24"/>
          <w:highlight w:val="yellow"/>
          <w:u w:val="single"/>
        </w:rPr>
      </w:pPr>
    </w:p>
    <w:p w14:paraId="18FD74EE" w14:textId="77777777" w:rsidR="00EF055A" w:rsidRPr="007A60AF" w:rsidRDefault="00EF055A" w:rsidP="00EF055A">
      <w:pPr>
        <w:spacing w:after="0"/>
        <w:rPr>
          <w:rFonts w:cs="Arial"/>
          <w:b/>
          <w:szCs w:val="24"/>
          <w:highlight w:val="yellow"/>
          <w:u w:val="single"/>
        </w:rPr>
      </w:pPr>
    </w:p>
    <w:p w14:paraId="4E7B8A67" w14:textId="77777777" w:rsidR="00EF055A" w:rsidRPr="007A60AF" w:rsidRDefault="00EF055A" w:rsidP="00EF055A">
      <w:pPr>
        <w:spacing w:after="0"/>
        <w:rPr>
          <w:rFonts w:cs="Arial"/>
          <w:b/>
          <w:szCs w:val="24"/>
          <w:highlight w:val="yellow"/>
          <w:u w:val="single"/>
        </w:rPr>
      </w:pPr>
    </w:p>
    <w:p w14:paraId="7479773E" w14:textId="77777777" w:rsidR="00EF055A" w:rsidRPr="007A60AF" w:rsidRDefault="00EF055A" w:rsidP="00EF055A">
      <w:pPr>
        <w:spacing w:after="0"/>
        <w:rPr>
          <w:rFonts w:cs="Arial"/>
          <w:b/>
          <w:szCs w:val="24"/>
          <w:highlight w:val="yellow"/>
          <w:u w:val="single"/>
        </w:rPr>
      </w:pPr>
    </w:p>
    <w:p w14:paraId="6EBB4315" w14:textId="77777777" w:rsidR="00EF055A" w:rsidRPr="00CE65F0" w:rsidRDefault="00EF055A" w:rsidP="00EF055A">
      <w:pPr>
        <w:spacing w:after="0"/>
        <w:rPr>
          <w:rFonts w:cs="Arial"/>
          <w:b/>
          <w:szCs w:val="24"/>
          <w:u w:val="single"/>
        </w:rPr>
      </w:pPr>
      <w:r w:rsidRPr="00CE65F0">
        <w:rPr>
          <w:rFonts w:cs="Arial"/>
          <w:b/>
          <w:szCs w:val="24"/>
          <w:u w:val="single"/>
        </w:rPr>
        <w:lastRenderedPageBreak/>
        <w:t xml:space="preserve">Table </w:t>
      </w:r>
      <w:r>
        <w:rPr>
          <w:rFonts w:cs="Arial"/>
          <w:b/>
          <w:szCs w:val="24"/>
          <w:u w:val="single"/>
        </w:rPr>
        <w:t>7</w:t>
      </w:r>
    </w:p>
    <w:p w14:paraId="21096648" w14:textId="77777777" w:rsidR="00EF055A" w:rsidRPr="007A60AF" w:rsidRDefault="00EF055A" w:rsidP="00EF055A">
      <w:pPr>
        <w:spacing w:after="0"/>
        <w:rPr>
          <w:rFonts w:cs="Arial"/>
          <w:b/>
          <w:szCs w:val="24"/>
          <w:highlight w:val="yellow"/>
          <w:u w:val="single"/>
        </w:rPr>
      </w:pPr>
    </w:p>
    <w:tbl>
      <w:tblPr>
        <w:tblW w:w="9006" w:type="dxa"/>
        <w:tblLook w:val="04A0" w:firstRow="1" w:lastRow="0" w:firstColumn="1" w:lastColumn="0" w:noHBand="0" w:noVBand="1"/>
      </w:tblPr>
      <w:tblGrid>
        <w:gridCol w:w="2792"/>
        <w:gridCol w:w="1314"/>
        <w:gridCol w:w="1254"/>
        <w:gridCol w:w="1254"/>
        <w:gridCol w:w="1108"/>
        <w:gridCol w:w="1284"/>
      </w:tblGrid>
      <w:tr w:rsidR="009C2438" w14:paraId="3214435C" w14:textId="77777777" w:rsidTr="00EF055A">
        <w:trPr>
          <w:trHeight w:val="300"/>
        </w:trPr>
        <w:tc>
          <w:tcPr>
            <w:tcW w:w="2792" w:type="dxa"/>
            <w:tcBorders>
              <w:top w:val="single" w:sz="8" w:space="0" w:color="auto"/>
              <w:left w:val="single" w:sz="8" w:space="0" w:color="auto"/>
              <w:bottom w:val="nil"/>
              <w:right w:val="single" w:sz="8" w:space="0" w:color="auto"/>
            </w:tcBorders>
            <w:shd w:val="clear" w:color="000000" w:fill="BDD7EE"/>
            <w:hideMark/>
          </w:tcPr>
          <w:p w14:paraId="00A59022" w14:textId="77777777" w:rsidR="00EF055A" w:rsidRPr="006839A2" w:rsidRDefault="00EF055A" w:rsidP="00EF055A">
            <w:pPr>
              <w:spacing w:after="0" w:line="240" w:lineRule="auto"/>
              <w:rPr>
                <w:rFonts w:cs="Arial"/>
                <w:color w:val="000000"/>
                <w:szCs w:val="24"/>
                <w:lang w:eastAsia="en-GB"/>
              </w:rPr>
            </w:pPr>
            <w:r w:rsidRPr="006839A2">
              <w:rPr>
                <w:rFonts w:cs="Arial"/>
                <w:color w:val="000000"/>
                <w:szCs w:val="24"/>
                <w:lang w:eastAsia="en-GB"/>
              </w:rPr>
              <w:t> </w:t>
            </w:r>
          </w:p>
        </w:tc>
        <w:tc>
          <w:tcPr>
            <w:tcW w:w="1314" w:type="dxa"/>
            <w:tcBorders>
              <w:top w:val="single" w:sz="8" w:space="0" w:color="auto"/>
              <w:left w:val="nil"/>
              <w:bottom w:val="nil"/>
              <w:right w:val="single" w:sz="8" w:space="0" w:color="auto"/>
            </w:tcBorders>
            <w:shd w:val="clear" w:color="000000" w:fill="BDD7EE"/>
            <w:vAlign w:val="center"/>
            <w:hideMark/>
          </w:tcPr>
          <w:p w14:paraId="6A970FC3" w14:textId="77777777" w:rsidR="00EF055A" w:rsidRPr="006839A2" w:rsidRDefault="00EF055A" w:rsidP="00EF055A">
            <w:pPr>
              <w:spacing w:after="0" w:line="240" w:lineRule="auto"/>
              <w:jc w:val="center"/>
              <w:rPr>
                <w:rFonts w:cs="Arial"/>
                <w:b/>
                <w:bCs/>
                <w:color w:val="000000"/>
                <w:szCs w:val="24"/>
                <w:lang w:eastAsia="en-GB"/>
              </w:rPr>
            </w:pPr>
            <w:r w:rsidRPr="006839A2">
              <w:rPr>
                <w:rFonts w:cs="Arial"/>
                <w:b/>
                <w:bCs/>
                <w:color w:val="000000"/>
                <w:szCs w:val="24"/>
                <w:lang w:eastAsia="en-GB"/>
              </w:rPr>
              <w:t>2020/21</w:t>
            </w:r>
          </w:p>
        </w:tc>
        <w:tc>
          <w:tcPr>
            <w:tcW w:w="1254" w:type="dxa"/>
            <w:tcBorders>
              <w:top w:val="single" w:sz="8" w:space="0" w:color="auto"/>
              <w:left w:val="nil"/>
              <w:bottom w:val="nil"/>
              <w:right w:val="single" w:sz="8" w:space="0" w:color="auto"/>
            </w:tcBorders>
            <w:shd w:val="clear" w:color="000000" w:fill="BDD7EE"/>
            <w:vAlign w:val="center"/>
            <w:hideMark/>
          </w:tcPr>
          <w:p w14:paraId="40449A83" w14:textId="77777777" w:rsidR="00EF055A" w:rsidRPr="006839A2" w:rsidRDefault="00EF055A" w:rsidP="00EF055A">
            <w:pPr>
              <w:spacing w:after="0" w:line="240" w:lineRule="auto"/>
              <w:jc w:val="center"/>
              <w:rPr>
                <w:rFonts w:cs="Arial"/>
                <w:b/>
                <w:bCs/>
                <w:color w:val="000000"/>
                <w:szCs w:val="24"/>
                <w:lang w:eastAsia="en-GB"/>
              </w:rPr>
            </w:pPr>
            <w:r w:rsidRPr="006839A2">
              <w:rPr>
                <w:rFonts w:cs="Arial"/>
                <w:b/>
                <w:bCs/>
                <w:color w:val="000000"/>
                <w:szCs w:val="24"/>
                <w:lang w:eastAsia="en-GB"/>
              </w:rPr>
              <w:t>2021/22</w:t>
            </w:r>
          </w:p>
        </w:tc>
        <w:tc>
          <w:tcPr>
            <w:tcW w:w="1254" w:type="dxa"/>
            <w:tcBorders>
              <w:top w:val="single" w:sz="8" w:space="0" w:color="auto"/>
              <w:left w:val="nil"/>
              <w:bottom w:val="nil"/>
              <w:right w:val="single" w:sz="4" w:space="0" w:color="auto"/>
            </w:tcBorders>
            <w:shd w:val="clear" w:color="000000" w:fill="BDD7EE"/>
            <w:vAlign w:val="center"/>
            <w:hideMark/>
          </w:tcPr>
          <w:p w14:paraId="22E85D65" w14:textId="77777777" w:rsidR="00EF055A" w:rsidRPr="006839A2" w:rsidRDefault="00EF055A" w:rsidP="00EF055A">
            <w:pPr>
              <w:spacing w:after="0" w:line="240" w:lineRule="auto"/>
              <w:jc w:val="center"/>
              <w:rPr>
                <w:rFonts w:cs="Arial"/>
                <w:b/>
                <w:bCs/>
                <w:color w:val="000000"/>
                <w:szCs w:val="24"/>
                <w:lang w:eastAsia="en-GB"/>
              </w:rPr>
            </w:pPr>
            <w:r w:rsidRPr="006839A2">
              <w:rPr>
                <w:rFonts w:cs="Arial"/>
                <w:b/>
                <w:bCs/>
                <w:color w:val="000000"/>
                <w:szCs w:val="24"/>
                <w:lang w:eastAsia="en-GB"/>
              </w:rPr>
              <w:t>2022/23</w:t>
            </w:r>
          </w:p>
        </w:tc>
        <w:tc>
          <w:tcPr>
            <w:tcW w:w="1108" w:type="dxa"/>
            <w:tcBorders>
              <w:top w:val="single" w:sz="4" w:space="0" w:color="auto"/>
              <w:left w:val="single" w:sz="4" w:space="0" w:color="auto"/>
              <w:right w:val="single" w:sz="4" w:space="0" w:color="auto"/>
            </w:tcBorders>
            <w:shd w:val="clear" w:color="000000" w:fill="BDD7EE"/>
          </w:tcPr>
          <w:p w14:paraId="4753C24F" w14:textId="77777777" w:rsidR="00EF055A" w:rsidRPr="00A4194F" w:rsidRDefault="00EF055A" w:rsidP="00EF055A">
            <w:pPr>
              <w:spacing w:after="0" w:line="240" w:lineRule="auto"/>
              <w:jc w:val="center"/>
              <w:rPr>
                <w:rFonts w:cs="Arial"/>
                <w:b/>
                <w:bCs/>
                <w:szCs w:val="24"/>
                <w:lang w:eastAsia="en-GB"/>
              </w:rPr>
            </w:pPr>
            <w:r w:rsidRPr="00A4194F">
              <w:rPr>
                <w:rFonts w:cs="Arial"/>
                <w:b/>
                <w:bCs/>
                <w:szCs w:val="24"/>
                <w:lang w:eastAsia="en-GB"/>
              </w:rPr>
              <w:t>2023/24</w:t>
            </w:r>
          </w:p>
        </w:tc>
        <w:tc>
          <w:tcPr>
            <w:tcW w:w="1284" w:type="dxa"/>
            <w:tcBorders>
              <w:top w:val="single" w:sz="8" w:space="0" w:color="auto"/>
              <w:left w:val="single" w:sz="4" w:space="0" w:color="auto"/>
              <w:bottom w:val="nil"/>
              <w:right w:val="single" w:sz="8" w:space="0" w:color="auto"/>
            </w:tcBorders>
            <w:shd w:val="clear" w:color="000000" w:fill="BDD7EE"/>
            <w:vAlign w:val="center"/>
            <w:hideMark/>
          </w:tcPr>
          <w:p w14:paraId="735229A3" w14:textId="77777777" w:rsidR="00EF055A" w:rsidRPr="006839A2" w:rsidRDefault="00EF055A" w:rsidP="00EF055A">
            <w:pPr>
              <w:spacing w:after="0" w:line="240" w:lineRule="auto"/>
              <w:jc w:val="center"/>
              <w:rPr>
                <w:rFonts w:cs="Arial"/>
                <w:b/>
                <w:bCs/>
                <w:color w:val="000000"/>
                <w:szCs w:val="24"/>
                <w:lang w:eastAsia="en-GB"/>
              </w:rPr>
            </w:pPr>
            <w:r w:rsidRPr="006839A2">
              <w:rPr>
                <w:rFonts w:cs="Arial"/>
                <w:b/>
                <w:bCs/>
                <w:color w:val="000000"/>
                <w:szCs w:val="24"/>
                <w:lang w:eastAsia="en-GB"/>
              </w:rPr>
              <w:t>Total</w:t>
            </w:r>
          </w:p>
        </w:tc>
      </w:tr>
      <w:tr w:rsidR="009C2438" w14:paraId="1A64AFF3" w14:textId="77777777" w:rsidTr="00EF055A">
        <w:trPr>
          <w:trHeight w:val="315"/>
        </w:trPr>
        <w:tc>
          <w:tcPr>
            <w:tcW w:w="2792" w:type="dxa"/>
            <w:tcBorders>
              <w:top w:val="nil"/>
              <w:left w:val="single" w:sz="8" w:space="0" w:color="auto"/>
              <w:bottom w:val="single" w:sz="8" w:space="0" w:color="auto"/>
              <w:right w:val="single" w:sz="8" w:space="0" w:color="auto"/>
            </w:tcBorders>
            <w:shd w:val="clear" w:color="000000" w:fill="BDD7EE"/>
            <w:hideMark/>
          </w:tcPr>
          <w:p w14:paraId="4E68DEB0" w14:textId="77777777" w:rsidR="00EF055A" w:rsidRPr="006839A2" w:rsidRDefault="00EF055A" w:rsidP="00EF055A">
            <w:pPr>
              <w:spacing w:after="0" w:line="240" w:lineRule="auto"/>
              <w:rPr>
                <w:rFonts w:cs="Arial"/>
                <w:color w:val="000000"/>
                <w:szCs w:val="24"/>
                <w:lang w:eastAsia="en-GB"/>
              </w:rPr>
            </w:pPr>
            <w:r w:rsidRPr="006839A2">
              <w:rPr>
                <w:rFonts w:cs="Arial"/>
                <w:color w:val="000000"/>
                <w:szCs w:val="24"/>
                <w:lang w:eastAsia="en-GB"/>
              </w:rPr>
              <w:t> </w:t>
            </w:r>
          </w:p>
        </w:tc>
        <w:tc>
          <w:tcPr>
            <w:tcW w:w="1314" w:type="dxa"/>
            <w:tcBorders>
              <w:top w:val="nil"/>
              <w:left w:val="nil"/>
              <w:bottom w:val="single" w:sz="8" w:space="0" w:color="auto"/>
              <w:right w:val="single" w:sz="8" w:space="0" w:color="auto"/>
            </w:tcBorders>
            <w:shd w:val="clear" w:color="000000" w:fill="BDD7EE"/>
            <w:vAlign w:val="center"/>
            <w:hideMark/>
          </w:tcPr>
          <w:p w14:paraId="2833DD9B" w14:textId="77777777" w:rsidR="00EF055A" w:rsidRPr="006839A2" w:rsidRDefault="00EF055A" w:rsidP="00EF055A">
            <w:pPr>
              <w:spacing w:after="0" w:line="240" w:lineRule="auto"/>
              <w:jc w:val="center"/>
              <w:rPr>
                <w:rFonts w:cs="Arial"/>
                <w:b/>
                <w:bCs/>
                <w:color w:val="000000"/>
                <w:szCs w:val="24"/>
                <w:lang w:eastAsia="en-GB"/>
              </w:rPr>
            </w:pPr>
            <w:r w:rsidRPr="006839A2">
              <w:rPr>
                <w:rFonts w:cs="Arial"/>
                <w:b/>
                <w:bCs/>
                <w:color w:val="000000"/>
                <w:szCs w:val="24"/>
                <w:lang w:eastAsia="en-GB"/>
              </w:rPr>
              <w:t>£m</w:t>
            </w:r>
          </w:p>
        </w:tc>
        <w:tc>
          <w:tcPr>
            <w:tcW w:w="1254" w:type="dxa"/>
            <w:tcBorders>
              <w:top w:val="nil"/>
              <w:left w:val="nil"/>
              <w:bottom w:val="single" w:sz="8" w:space="0" w:color="auto"/>
              <w:right w:val="single" w:sz="8" w:space="0" w:color="auto"/>
            </w:tcBorders>
            <w:shd w:val="clear" w:color="000000" w:fill="BDD7EE"/>
            <w:vAlign w:val="center"/>
            <w:hideMark/>
          </w:tcPr>
          <w:p w14:paraId="68C94AB7" w14:textId="77777777" w:rsidR="00EF055A" w:rsidRPr="006839A2" w:rsidRDefault="00EF055A" w:rsidP="00EF055A">
            <w:pPr>
              <w:spacing w:after="0" w:line="240" w:lineRule="auto"/>
              <w:jc w:val="center"/>
              <w:rPr>
                <w:rFonts w:cs="Arial"/>
                <w:b/>
                <w:bCs/>
                <w:color w:val="000000"/>
                <w:szCs w:val="24"/>
                <w:lang w:eastAsia="en-GB"/>
              </w:rPr>
            </w:pPr>
            <w:r w:rsidRPr="006839A2">
              <w:rPr>
                <w:rFonts w:cs="Arial"/>
                <w:b/>
                <w:bCs/>
                <w:color w:val="000000"/>
                <w:szCs w:val="24"/>
                <w:lang w:eastAsia="en-GB"/>
              </w:rPr>
              <w:t>£m</w:t>
            </w:r>
          </w:p>
        </w:tc>
        <w:tc>
          <w:tcPr>
            <w:tcW w:w="1254" w:type="dxa"/>
            <w:tcBorders>
              <w:top w:val="nil"/>
              <w:left w:val="nil"/>
              <w:bottom w:val="single" w:sz="8" w:space="0" w:color="auto"/>
              <w:right w:val="single" w:sz="4" w:space="0" w:color="auto"/>
            </w:tcBorders>
            <w:shd w:val="clear" w:color="000000" w:fill="BDD7EE"/>
            <w:vAlign w:val="center"/>
            <w:hideMark/>
          </w:tcPr>
          <w:p w14:paraId="0D442C4B" w14:textId="77777777" w:rsidR="00EF055A" w:rsidRPr="006839A2" w:rsidRDefault="00EF055A" w:rsidP="00EF055A">
            <w:pPr>
              <w:spacing w:after="0" w:line="240" w:lineRule="auto"/>
              <w:jc w:val="center"/>
              <w:rPr>
                <w:rFonts w:cs="Arial"/>
                <w:b/>
                <w:bCs/>
                <w:color w:val="000000"/>
                <w:szCs w:val="24"/>
                <w:lang w:eastAsia="en-GB"/>
              </w:rPr>
            </w:pPr>
            <w:r w:rsidRPr="006839A2">
              <w:rPr>
                <w:rFonts w:cs="Arial"/>
                <w:b/>
                <w:bCs/>
                <w:color w:val="000000"/>
                <w:szCs w:val="24"/>
                <w:lang w:eastAsia="en-GB"/>
              </w:rPr>
              <w:t>£m</w:t>
            </w:r>
          </w:p>
        </w:tc>
        <w:tc>
          <w:tcPr>
            <w:tcW w:w="1108" w:type="dxa"/>
            <w:tcBorders>
              <w:left w:val="single" w:sz="4" w:space="0" w:color="auto"/>
              <w:bottom w:val="single" w:sz="4" w:space="0" w:color="auto"/>
              <w:right w:val="single" w:sz="4" w:space="0" w:color="auto"/>
            </w:tcBorders>
            <w:shd w:val="clear" w:color="000000" w:fill="BDD7EE"/>
          </w:tcPr>
          <w:p w14:paraId="0B63FC9C" w14:textId="77777777" w:rsidR="00EF055A" w:rsidRPr="00A4194F" w:rsidRDefault="00EF055A" w:rsidP="00EF055A">
            <w:pPr>
              <w:spacing w:after="0" w:line="240" w:lineRule="auto"/>
              <w:jc w:val="center"/>
              <w:rPr>
                <w:rFonts w:cs="Arial"/>
                <w:b/>
                <w:bCs/>
                <w:szCs w:val="24"/>
                <w:lang w:eastAsia="en-GB"/>
              </w:rPr>
            </w:pPr>
            <w:r w:rsidRPr="00A4194F">
              <w:rPr>
                <w:rFonts w:cs="Arial"/>
                <w:b/>
                <w:bCs/>
                <w:szCs w:val="24"/>
                <w:lang w:eastAsia="en-GB"/>
              </w:rPr>
              <w:t>£m</w:t>
            </w:r>
          </w:p>
        </w:tc>
        <w:tc>
          <w:tcPr>
            <w:tcW w:w="1284" w:type="dxa"/>
            <w:tcBorders>
              <w:top w:val="nil"/>
              <w:left w:val="single" w:sz="4" w:space="0" w:color="auto"/>
              <w:bottom w:val="single" w:sz="8" w:space="0" w:color="auto"/>
              <w:right w:val="single" w:sz="8" w:space="0" w:color="auto"/>
            </w:tcBorders>
            <w:shd w:val="clear" w:color="000000" w:fill="BDD7EE"/>
            <w:vAlign w:val="center"/>
            <w:hideMark/>
          </w:tcPr>
          <w:p w14:paraId="15DEAB77" w14:textId="77777777" w:rsidR="00EF055A" w:rsidRPr="006839A2" w:rsidRDefault="00EF055A" w:rsidP="00EF055A">
            <w:pPr>
              <w:spacing w:after="0" w:line="240" w:lineRule="auto"/>
              <w:jc w:val="center"/>
              <w:rPr>
                <w:rFonts w:cs="Arial"/>
                <w:b/>
                <w:bCs/>
                <w:color w:val="000000"/>
                <w:szCs w:val="24"/>
                <w:lang w:eastAsia="en-GB"/>
              </w:rPr>
            </w:pPr>
            <w:r w:rsidRPr="006839A2">
              <w:rPr>
                <w:rFonts w:cs="Arial"/>
                <w:b/>
                <w:bCs/>
                <w:color w:val="000000"/>
                <w:szCs w:val="24"/>
                <w:lang w:eastAsia="en-GB"/>
              </w:rPr>
              <w:t>£m</w:t>
            </w:r>
          </w:p>
        </w:tc>
      </w:tr>
      <w:tr w:rsidR="009C2438" w14:paraId="2C2F17CC" w14:textId="77777777" w:rsidTr="00EF055A">
        <w:trPr>
          <w:trHeight w:val="615"/>
        </w:trPr>
        <w:tc>
          <w:tcPr>
            <w:tcW w:w="2792" w:type="dxa"/>
            <w:tcBorders>
              <w:top w:val="nil"/>
              <w:left w:val="single" w:sz="8" w:space="0" w:color="auto"/>
              <w:bottom w:val="single" w:sz="8" w:space="0" w:color="auto"/>
              <w:right w:val="single" w:sz="8" w:space="0" w:color="auto"/>
            </w:tcBorders>
            <w:shd w:val="clear" w:color="auto" w:fill="auto"/>
            <w:vAlign w:val="center"/>
            <w:hideMark/>
          </w:tcPr>
          <w:p w14:paraId="23BECE34" w14:textId="77777777" w:rsidR="00EF055A" w:rsidRPr="007A60AF" w:rsidRDefault="00EF055A" w:rsidP="00EF055A">
            <w:pPr>
              <w:spacing w:after="0" w:line="240" w:lineRule="auto"/>
              <w:rPr>
                <w:rFonts w:cs="Arial"/>
                <w:b/>
                <w:bCs/>
                <w:color w:val="000000"/>
                <w:szCs w:val="24"/>
                <w:highlight w:val="yellow"/>
                <w:lang w:eastAsia="en-GB"/>
              </w:rPr>
            </w:pPr>
            <w:r w:rsidRPr="00706288">
              <w:rPr>
                <w:rFonts w:cs="Arial"/>
                <w:b/>
                <w:bCs/>
                <w:color w:val="000000"/>
                <w:szCs w:val="24"/>
                <w:lang w:eastAsia="en-GB"/>
              </w:rPr>
              <w:t>Spending Gap as reported to Cabinet (Quarter 2)</w:t>
            </w:r>
          </w:p>
        </w:tc>
        <w:tc>
          <w:tcPr>
            <w:tcW w:w="1314" w:type="dxa"/>
            <w:tcBorders>
              <w:top w:val="nil"/>
              <w:left w:val="nil"/>
              <w:bottom w:val="single" w:sz="8" w:space="0" w:color="auto"/>
              <w:right w:val="single" w:sz="8" w:space="0" w:color="auto"/>
            </w:tcBorders>
            <w:shd w:val="clear" w:color="auto" w:fill="auto"/>
            <w:vAlign w:val="center"/>
            <w:hideMark/>
          </w:tcPr>
          <w:p w14:paraId="69F95AF5" w14:textId="77777777" w:rsidR="00EF055A" w:rsidRPr="00706288" w:rsidRDefault="00EF055A" w:rsidP="00EF055A">
            <w:pPr>
              <w:spacing w:after="0" w:line="240" w:lineRule="auto"/>
              <w:jc w:val="right"/>
              <w:rPr>
                <w:rFonts w:cs="Arial"/>
                <w:b/>
                <w:bCs/>
                <w:color w:val="000000"/>
                <w:szCs w:val="24"/>
                <w:highlight w:val="yellow"/>
                <w:lang w:eastAsia="en-GB"/>
              </w:rPr>
            </w:pPr>
            <w:r w:rsidRPr="00706288">
              <w:rPr>
                <w:rFonts w:cs="Arial"/>
                <w:b/>
                <w:bCs/>
                <w:color w:val="000000"/>
                <w:szCs w:val="24"/>
              </w:rPr>
              <w:t>0.000</w:t>
            </w:r>
          </w:p>
        </w:tc>
        <w:tc>
          <w:tcPr>
            <w:tcW w:w="1254" w:type="dxa"/>
            <w:tcBorders>
              <w:top w:val="nil"/>
              <w:left w:val="nil"/>
              <w:bottom w:val="single" w:sz="8" w:space="0" w:color="auto"/>
              <w:right w:val="single" w:sz="8" w:space="0" w:color="auto"/>
            </w:tcBorders>
            <w:shd w:val="clear" w:color="auto" w:fill="auto"/>
            <w:vAlign w:val="center"/>
            <w:hideMark/>
          </w:tcPr>
          <w:p w14:paraId="1E236071" w14:textId="77777777" w:rsidR="00EF055A" w:rsidRPr="00706288" w:rsidRDefault="00EF055A" w:rsidP="00EF055A">
            <w:pPr>
              <w:spacing w:after="0" w:line="240" w:lineRule="auto"/>
              <w:jc w:val="right"/>
              <w:rPr>
                <w:rFonts w:cs="Arial"/>
                <w:b/>
                <w:bCs/>
                <w:color w:val="000000"/>
                <w:szCs w:val="24"/>
                <w:highlight w:val="yellow"/>
                <w:lang w:eastAsia="en-GB"/>
              </w:rPr>
            </w:pPr>
            <w:r w:rsidRPr="00706288">
              <w:rPr>
                <w:rFonts w:cs="Arial"/>
                <w:b/>
                <w:bCs/>
                <w:color w:val="000000"/>
                <w:szCs w:val="24"/>
              </w:rPr>
              <w:t>-5.188</w:t>
            </w:r>
          </w:p>
        </w:tc>
        <w:tc>
          <w:tcPr>
            <w:tcW w:w="1254" w:type="dxa"/>
            <w:tcBorders>
              <w:top w:val="nil"/>
              <w:left w:val="nil"/>
              <w:bottom w:val="single" w:sz="8" w:space="0" w:color="auto"/>
              <w:right w:val="single" w:sz="4" w:space="0" w:color="auto"/>
            </w:tcBorders>
            <w:shd w:val="clear" w:color="auto" w:fill="auto"/>
            <w:vAlign w:val="center"/>
            <w:hideMark/>
          </w:tcPr>
          <w:p w14:paraId="4E37970E" w14:textId="77777777" w:rsidR="00EF055A" w:rsidRPr="00706288" w:rsidRDefault="00EF055A" w:rsidP="00EF055A">
            <w:pPr>
              <w:spacing w:after="0" w:line="240" w:lineRule="auto"/>
              <w:jc w:val="right"/>
              <w:rPr>
                <w:rFonts w:cs="Arial"/>
                <w:b/>
                <w:bCs/>
                <w:color w:val="000000"/>
                <w:szCs w:val="24"/>
                <w:highlight w:val="yellow"/>
                <w:lang w:eastAsia="en-GB"/>
              </w:rPr>
            </w:pPr>
            <w:r w:rsidRPr="00706288">
              <w:rPr>
                <w:rFonts w:cs="Arial"/>
                <w:b/>
                <w:bCs/>
                <w:color w:val="000000"/>
                <w:szCs w:val="24"/>
              </w:rPr>
              <w:t>14.150</w:t>
            </w:r>
          </w:p>
        </w:tc>
        <w:tc>
          <w:tcPr>
            <w:tcW w:w="1108" w:type="dxa"/>
            <w:tcBorders>
              <w:top w:val="single" w:sz="4" w:space="0" w:color="auto"/>
              <w:left w:val="single" w:sz="4" w:space="0" w:color="auto"/>
              <w:bottom w:val="single" w:sz="4" w:space="0" w:color="auto"/>
              <w:right w:val="single" w:sz="4" w:space="0" w:color="auto"/>
            </w:tcBorders>
            <w:vAlign w:val="center"/>
          </w:tcPr>
          <w:p w14:paraId="45AAE348" w14:textId="77777777" w:rsidR="00EF055A" w:rsidRPr="00706288" w:rsidRDefault="00EF055A" w:rsidP="00EF055A">
            <w:pPr>
              <w:spacing w:after="0" w:line="240" w:lineRule="auto"/>
              <w:jc w:val="right"/>
              <w:rPr>
                <w:rFonts w:cs="Arial"/>
                <w:b/>
                <w:bCs/>
                <w:color w:val="000000"/>
                <w:szCs w:val="24"/>
                <w:highlight w:val="yellow"/>
                <w:lang w:eastAsia="en-GB"/>
              </w:rPr>
            </w:pPr>
            <w:r w:rsidRPr="00706288">
              <w:rPr>
                <w:rFonts w:cs="Arial"/>
                <w:b/>
                <w:bCs/>
                <w:color w:val="000000"/>
                <w:szCs w:val="24"/>
              </w:rPr>
              <w:t>19.477</w:t>
            </w:r>
          </w:p>
        </w:tc>
        <w:tc>
          <w:tcPr>
            <w:tcW w:w="1284" w:type="dxa"/>
            <w:tcBorders>
              <w:top w:val="nil"/>
              <w:left w:val="single" w:sz="4" w:space="0" w:color="auto"/>
              <w:bottom w:val="single" w:sz="8" w:space="0" w:color="auto"/>
              <w:right w:val="single" w:sz="8" w:space="0" w:color="auto"/>
            </w:tcBorders>
            <w:shd w:val="clear" w:color="auto" w:fill="auto"/>
            <w:vAlign w:val="center"/>
            <w:hideMark/>
          </w:tcPr>
          <w:p w14:paraId="47DE09E9" w14:textId="77777777" w:rsidR="00EF055A" w:rsidRPr="00706288" w:rsidRDefault="00EF055A" w:rsidP="00EF055A">
            <w:pPr>
              <w:spacing w:after="0" w:line="240" w:lineRule="auto"/>
              <w:jc w:val="right"/>
              <w:rPr>
                <w:rFonts w:cs="Arial"/>
                <w:b/>
                <w:bCs/>
                <w:color w:val="000000"/>
                <w:szCs w:val="24"/>
                <w:highlight w:val="yellow"/>
                <w:lang w:eastAsia="en-GB"/>
              </w:rPr>
            </w:pPr>
            <w:r w:rsidRPr="00706288">
              <w:rPr>
                <w:rFonts w:cs="Arial"/>
                <w:b/>
                <w:bCs/>
                <w:color w:val="000000"/>
                <w:szCs w:val="24"/>
              </w:rPr>
              <w:t>28.438</w:t>
            </w:r>
          </w:p>
        </w:tc>
      </w:tr>
      <w:tr w:rsidR="009C2438" w14:paraId="186B3CE5" w14:textId="77777777" w:rsidTr="00EF055A">
        <w:trPr>
          <w:trHeight w:val="615"/>
        </w:trPr>
        <w:tc>
          <w:tcPr>
            <w:tcW w:w="2792" w:type="dxa"/>
            <w:tcBorders>
              <w:top w:val="nil"/>
              <w:left w:val="single" w:sz="8" w:space="0" w:color="auto"/>
              <w:bottom w:val="single" w:sz="8" w:space="0" w:color="auto"/>
              <w:right w:val="single" w:sz="8" w:space="0" w:color="auto"/>
            </w:tcBorders>
            <w:shd w:val="clear" w:color="000000" w:fill="BFBFBF"/>
            <w:vAlign w:val="center"/>
            <w:hideMark/>
          </w:tcPr>
          <w:p w14:paraId="25B0B305" w14:textId="77777777" w:rsidR="00EF055A" w:rsidRPr="00706288" w:rsidRDefault="00EF055A" w:rsidP="00EF055A">
            <w:pPr>
              <w:spacing w:after="0" w:line="240" w:lineRule="auto"/>
              <w:rPr>
                <w:rFonts w:cs="Arial"/>
                <w:color w:val="000000"/>
                <w:szCs w:val="24"/>
                <w:lang w:eastAsia="en-GB"/>
              </w:rPr>
            </w:pPr>
            <w:r w:rsidRPr="00706288">
              <w:rPr>
                <w:rFonts w:cs="Arial"/>
                <w:color w:val="000000"/>
                <w:szCs w:val="24"/>
                <w:lang w:eastAsia="en-GB"/>
              </w:rPr>
              <w:t>Add change to forecast of spending:</w:t>
            </w:r>
          </w:p>
        </w:tc>
        <w:tc>
          <w:tcPr>
            <w:tcW w:w="1314" w:type="dxa"/>
            <w:tcBorders>
              <w:top w:val="nil"/>
              <w:left w:val="nil"/>
              <w:bottom w:val="single" w:sz="8" w:space="0" w:color="auto"/>
              <w:right w:val="single" w:sz="8" w:space="0" w:color="auto"/>
            </w:tcBorders>
            <w:shd w:val="clear" w:color="000000" w:fill="BFBFBF"/>
            <w:vAlign w:val="center"/>
            <w:hideMark/>
          </w:tcPr>
          <w:p w14:paraId="06D08C5B" w14:textId="77777777" w:rsidR="00EF055A" w:rsidRPr="00706288" w:rsidRDefault="00EF055A" w:rsidP="00EF055A">
            <w:pPr>
              <w:spacing w:after="0" w:line="240" w:lineRule="auto"/>
              <w:jc w:val="right"/>
              <w:rPr>
                <w:rFonts w:cs="Arial"/>
                <w:color w:val="000000"/>
                <w:szCs w:val="24"/>
                <w:lang w:eastAsia="en-GB"/>
              </w:rPr>
            </w:pPr>
            <w:r w:rsidRPr="00706288">
              <w:rPr>
                <w:rFonts w:cs="Arial"/>
                <w:color w:val="000000"/>
                <w:szCs w:val="24"/>
                <w:lang w:eastAsia="en-GB"/>
              </w:rPr>
              <w:t> </w:t>
            </w:r>
          </w:p>
        </w:tc>
        <w:tc>
          <w:tcPr>
            <w:tcW w:w="1254" w:type="dxa"/>
            <w:tcBorders>
              <w:top w:val="nil"/>
              <w:left w:val="nil"/>
              <w:bottom w:val="single" w:sz="8" w:space="0" w:color="auto"/>
              <w:right w:val="single" w:sz="8" w:space="0" w:color="auto"/>
            </w:tcBorders>
            <w:shd w:val="clear" w:color="000000" w:fill="BFBFBF"/>
            <w:vAlign w:val="center"/>
            <w:hideMark/>
          </w:tcPr>
          <w:p w14:paraId="09A521C1" w14:textId="77777777" w:rsidR="00EF055A" w:rsidRPr="00706288" w:rsidRDefault="00EF055A" w:rsidP="00EF055A">
            <w:pPr>
              <w:spacing w:after="0" w:line="240" w:lineRule="auto"/>
              <w:jc w:val="right"/>
              <w:rPr>
                <w:rFonts w:cs="Arial"/>
                <w:color w:val="000000"/>
                <w:szCs w:val="24"/>
                <w:lang w:eastAsia="en-GB"/>
              </w:rPr>
            </w:pPr>
            <w:r w:rsidRPr="00706288">
              <w:rPr>
                <w:rFonts w:cs="Arial"/>
                <w:color w:val="000000"/>
                <w:szCs w:val="24"/>
                <w:lang w:eastAsia="en-GB"/>
              </w:rPr>
              <w:t> </w:t>
            </w:r>
          </w:p>
        </w:tc>
        <w:tc>
          <w:tcPr>
            <w:tcW w:w="1254" w:type="dxa"/>
            <w:tcBorders>
              <w:top w:val="nil"/>
              <w:left w:val="nil"/>
              <w:bottom w:val="single" w:sz="8" w:space="0" w:color="auto"/>
              <w:right w:val="single" w:sz="4" w:space="0" w:color="auto"/>
            </w:tcBorders>
            <w:shd w:val="clear" w:color="000000" w:fill="BFBFBF"/>
            <w:vAlign w:val="center"/>
            <w:hideMark/>
          </w:tcPr>
          <w:p w14:paraId="1F0CA06A" w14:textId="77777777" w:rsidR="00EF055A" w:rsidRPr="00706288" w:rsidRDefault="00EF055A" w:rsidP="00EF055A">
            <w:pPr>
              <w:spacing w:after="0" w:line="240" w:lineRule="auto"/>
              <w:jc w:val="right"/>
              <w:rPr>
                <w:rFonts w:cs="Arial"/>
                <w:color w:val="000000"/>
                <w:szCs w:val="24"/>
                <w:lang w:eastAsia="en-GB"/>
              </w:rPr>
            </w:pPr>
            <w:r w:rsidRPr="00706288">
              <w:rPr>
                <w:rFonts w:cs="Arial"/>
                <w:color w:val="000000"/>
                <w:szCs w:val="24"/>
                <w:lang w:eastAsia="en-GB"/>
              </w:rPr>
              <w:t> </w:t>
            </w:r>
          </w:p>
        </w:tc>
        <w:tc>
          <w:tcPr>
            <w:tcW w:w="1108" w:type="dxa"/>
            <w:tcBorders>
              <w:top w:val="single" w:sz="4" w:space="0" w:color="auto"/>
              <w:left w:val="single" w:sz="4" w:space="0" w:color="auto"/>
              <w:bottom w:val="single" w:sz="4" w:space="0" w:color="auto"/>
              <w:right w:val="single" w:sz="4" w:space="0" w:color="auto"/>
            </w:tcBorders>
            <w:shd w:val="clear" w:color="000000" w:fill="BFBFBF"/>
          </w:tcPr>
          <w:p w14:paraId="4272B7EF" w14:textId="77777777" w:rsidR="00EF055A" w:rsidRPr="00706288" w:rsidRDefault="00EF055A" w:rsidP="00EF055A">
            <w:pPr>
              <w:spacing w:after="0" w:line="240" w:lineRule="auto"/>
              <w:jc w:val="right"/>
              <w:rPr>
                <w:rFonts w:cs="Arial"/>
                <w:color w:val="000000"/>
                <w:szCs w:val="24"/>
                <w:lang w:eastAsia="en-GB"/>
              </w:rPr>
            </w:pPr>
          </w:p>
        </w:tc>
        <w:tc>
          <w:tcPr>
            <w:tcW w:w="1284" w:type="dxa"/>
            <w:tcBorders>
              <w:top w:val="nil"/>
              <w:left w:val="single" w:sz="4" w:space="0" w:color="auto"/>
              <w:bottom w:val="single" w:sz="8" w:space="0" w:color="auto"/>
              <w:right w:val="single" w:sz="8" w:space="0" w:color="auto"/>
            </w:tcBorders>
            <w:shd w:val="clear" w:color="000000" w:fill="BFBFBF"/>
            <w:vAlign w:val="center"/>
            <w:hideMark/>
          </w:tcPr>
          <w:p w14:paraId="460712DB" w14:textId="77777777" w:rsidR="00EF055A" w:rsidRPr="00706288" w:rsidRDefault="00EF055A" w:rsidP="00EF055A">
            <w:pPr>
              <w:spacing w:after="0" w:line="240" w:lineRule="auto"/>
              <w:jc w:val="right"/>
              <w:rPr>
                <w:rFonts w:cs="Arial"/>
                <w:color w:val="000000"/>
                <w:szCs w:val="24"/>
                <w:lang w:eastAsia="en-GB"/>
              </w:rPr>
            </w:pPr>
            <w:r w:rsidRPr="00706288">
              <w:rPr>
                <w:rFonts w:cs="Arial"/>
                <w:color w:val="000000"/>
                <w:szCs w:val="24"/>
                <w:lang w:eastAsia="en-GB"/>
              </w:rPr>
              <w:t> </w:t>
            </w:r>
          </w:p>
        </w:tc>
      </w:tr>
      <w:tr w:rsidR="009C2438" w14:paraId="4B559515" w14:textId="77777777" w:rsidTr="00EF055A">
        <w:trPr>
          <w:trHeight w:val="315"/>
        </w:trPr>
        <w:tc>
          <w:tcPr>
            <w:tcW w:w="2792" w:type="dxa"/>
            <w:tcBorders>
              <w:top w:val="nil"/>
              <w:left w:val="single" w:sz="8" w:space="0" w:color="auto"/>
              <w:bottom w:val="single" w:sz="8" w:space="0" w:color="auto"/>
              <w:right w:val="single" w:sz="8" w:space="0" w:color="auto"/>
            </w:tcBorders>
            <w:shd w:val="clear" w:color="auto" w:fill="auto"/>
            <w:vAlign w:val="center"/>
            <w:hideMark/>
          </w:tcPr>
          <w:p w14:paraId="650BCECB" w14:textId="77777777" w:rsidR="00EF055A" w:rsidRPr="00706288" w:rsidRDefault="00EF055A" w:rsidP="00EF055A">
            <w:pPr>
              <w:spacing w:after="0" w:line="240" w:lineRule="auto"/>
              <w:rPr>
                <w:rFonts w:cs="Arial"/>
                <w:color w:val="000000"/>
                <w:szCs w:val="24"/>
                <w:lang w:eastAsia="en-GB"/>
              </w:rPr>
            </w:pPr>
            <w:r w:rsidRPr="00706288">
              <w:rPr>
                <w:rFonts w:cs="Arial"/>
                <w:color w:val="000000"/>
                <w:szCs w:val="24"/>
                <w:lang w:eastAsia="en-GB"/>
              </w:rPr>
              <w:t>Pay &amp; Pensions</w:t>
            </w:r>
          </w:p>
        </w:tc>
        <w:tc>
          <w:tcPr>
            <w:tcW w:w="1314" w:type="dxa"/>
            <w:tcBorders>
              <w:top w:val="nil"/>
              <w:left w:val="nil"/>
              <w:bottom w:val="single" w:sz="8" w:space="0" w:color="auto"/>
              <w:right w:val="single" w:sz="8" w:space="0" w:color="auto"/>
            </w:tcBorders>
            <w:shd w:val="clear" w:color="auto" w:fill="auto"/>
            <w:vAlign w:val="center"/>
            <w:hideMark/>
          </w:tcPr>
          <w:p w14:paraId="11092507" w14:textId="77777777" w:rsidR="00EF055A" w:rsidRPr="00706288" w:rsidRDefault="00EF055A" w:rsidP="00EF055A">
            <w:pPr>
              <w:spacing w:after="0" w:line="240" w:lineRule="auto"/>
              <w:jc w:val="right"/>
              <w:rPr>
                <w:rFonts w:cs="Arial"/>
                <w:color w:val="000000"/>
                <w:szCs w:val="24"/>
                <w:lang w:eastAsia="en-GB"/>
              </w:rPr>
            </w:pPr>
            <w:r w:rsidRPr="00A4194F">
              <w:rPr>
                <w:rFonts w:cs="Arial"/>
                <w:color w:val="000000"/>
                <w:szCs w:val="24"/>
              </w:rPr>
              <w:t>-1.195</w:t>
            </w:r>
          </w:p>
        </w:tc>
        <w:tc>
          <w:tcPr>
            <w:tcW w:w="1254" w:type="dxa"/>
            <w:tcBorders>
              <w:top w:val="nil"/>
              <w:left w:val="nil"/>
              <w:bottom w:val="single" w:sz="8" w:space="0" w:color="auto"/>
              <w:right w:val="single" w:sz="8" w:space="0" w:color="auto"/>
            </w:tcBorders>
            <w:shd w:val="clear" w:color="auto" w:fill="auto"/>
            <w:vAlign w:val="center"/>
            <w:hideMark/>
          </w:tcPr>
          <w:p w14:paraId="26DE4ADF" w14:textId="77777777" w:rsidR="00EF055A" w:rsidRPr="00706288" w:rsidRDefault="00EF055A" w:rsidP="00EF055A">
            <w:pPr>
              <w:spacing w:after="0" w:line="240" w:lineRule="auto"/>
              <w:jc w:val="right"/>
              <w:rPr>
                <w:rFonts w:cs="Arial"/>
                <w:color w:val="000000"/>
                <w:szCs w:val="24"/>
                <w:lang w:eastAsia="en-GB"/>
              </w:rPr>
            </w:pPr>
            <w:r w:rsidRPr="00706288">
              <w:rPr>
                <w:rFonts w:cs="Arial"/>
                <w:color w:val="000000"/>
                <w:szCs w:val="24"/>
              </w:rPr>
              <w:t>0.222</w:t>
            </w:r>
          </w:p>
        </w:tc>
        <w:tc>
          <w:tcPr>
            <w:tcW w:w="1254" w:type="dxa"/>
            <w:tcBorders>
              <w:top w:val="nil"/>
              <w:left w:val="nil"/>
              <w:bottom w:val="single" w:sz="8" w:space="0" w:color="auto"/>
              <w:right w:val="single" w:sz="4" w:space="0" w:color="auto"/>
            </w:tcBorders>
            <w:shd w:val="clear" w:color="auto" w:fill="auto"/>
            <w:vAlign w:val="center"/>
            <w:hideMark/>
          </w:tcPr>
          <w:p w14:paraId="38EB11DF" w14:textId="77777777" w:rsidR="00EF055A" w:rsidRPr="00706288" w:rsidRDefault="00EF055A" w:rsidP="00EF055A">
            <w:pPr>
              <w:spacing w:after="0" w:line="240" w:lineRule="auto"/>
              <w:jc w:val="right"/>
              <w:rPr>
                <w:rFonts w:cs="Arial"/>
                <w:color w:val="000000"/>
                <w:szCs w:val="24"/>
                <w:lang w:eastAsia="en-GB"/>
              </w:rPr>
            </w:pPr>
            <w:r w:rsidRPr="00706288">
              <w:rPr>
                <w:rFonts w:cs="Arial"/>
                <w:color w:val="000000"/>
                <w:szCs w:val="24"/>
              </w:rPr>
              <w:t>-0.042</w:t>
            </w:r>
          </w:p>
        </w:tc>
        <w:tc>
          <w:tcPr>
            <w:tcW w:w="1108" w:type="dxa"/>
            <w:tcBorders>
              <w:top w:val="single" w:sz="4" w:space="0" w:color="auto"/>
              <w:left w:val="single" w:sz="4" w:space="0" w:color="auto"/>
              <w:bottom w:val="single" w:sz="4" w:space="0" w:color="auto"/>
              <w:right w:val="single" w:sz="4" w:space="0" w:color="auto"/>
            </w:tcBorders>
            <w:vAlign w:val="center"/>
          </w:tcPr>
          <w:p w14:paraId="2D196F14" w14:textId="77777777" w:rsidR="00EF055A" w:rsidRPr="00706288" w:rsidRDefault="00EF055A" w:rsidP="00EF055A">
            <w:pPr>
              <w:spacing w:after="0" w:line="240" w:lineRule="auto"/>
              <w:jc w:val="right"/>
              <w:rPr>
                <w:rFonts w:cs="Arial"/>
                <w:b/>
                <w:bCs/>
                <w:color w:val="000000"/>
                <w:szCs w:val="24"/>
                <w:lang w:eastAsia="en-GB"/>
              </w:rPr>
            </w:pPr>
            <w:r w:rsidRPr="00A4194F">
              <w:rPr>
                <w:rFonts w:cs="Arial"/>
                <w:color w:val="000000"/>
                <w:szCs w:val="24"/>
              </w:rPr>
              <w:t>0.385</w:t>
            </w:r>
          </w:p>
        </w:tc>
        <w:tc>
          <w:tcPr>
            <w:tcW w:w="1284" w:type="dxa"/>
            <w:tcBorders>
              <w:top w:val="nil"/>
              <w:left w:val="single" w:sz="4" w:space="0" w:color="auto"/>
              <w:bottom w:val="single" w:sz="8" w:space="0" w:color="auto"/>
              <w:right w:val="single" w:sz="8" w:space="0" w:color="auto"/>
            </w:tcBorders>
            <w:shd w:val="clear" w:color="auto" w:fill="auto"/>
            <w:vAlign w:val="center"/>
            <w:hideMark/>
          </w:tcPr>
          <w:p w14:paraId="43C72EA7" w14:textId="77777777" w:rsidR="00EF055A" w:rsidRPr="00A4194F" w:rsidRDefault="00EF055A" w:rsidP="00EF055A">
            <w:pPr>
              <w:spacing w:after="0" w:line="240" w:lineRule="auto"/>
              <w:jc w:val="right"/>
              <w:rPr>
                <w:rFonts w:cs="Arial"/>
                <w:b/>
                <w:bCs/>
                <w:color w:val="000000"/>
                <w:szCs w:val="24"/>
                <w:lang w:eastAsia="en-GB"/>
              </w:rPr>
            </w:pPr>
            <w:r w:rsidRPr="00706288">
              <w:rPr>
                <w:rFonts w:cs="Arial"/>
                <w:b/>
                <w:bCs/>
                <w:color w:val="000000"/>
                <w:szCs w:val="24"/>
              </w:rPr>
              <w:t>-0.630</w:t>
            </w:r>
          </w:p>
        </w:tc>
      </w:tr>
      <w:tr w:rsidR="009C2438" w14:paraId="723DCE87" w14:textId="77777777" w:rsidTr="00EF055A">
        <w:trPr>
          <w:trHeight w:val="405"/>
        </w:trPr>
        <w:tc>
          <w:tcPr>
            <w:tcW w:w="2792" w:type="dxa"/>
            <w:tcBorders>
              <w:top w:val="nil"/>
              <w:left w:val="single" w:sz="8" w:space="0" w:color="auto"/>
              <w:bottom w:val="single" w:sz="8" w:space="0" w:color="auto"/>
              <w:right w:val="single" w:sz="8" w:space="0" w:color="auto"/>
            </w:tcBorders>
            <w:shd w:val="clear" w:color="auto" w:fill="auto"/>
            <w:vAlign w:val="center"/>
            <w:hideMark/>
          </w:tcPr>
          <w:p w14:paraId="2D452D5B" w14:textId="77777777" w:rsidR="00EF055A" w:rsidRPr="00706288" w:rsidRDefault="00EF055A" w:rsidP="00EF055A">
            <w:pPr>
              <w:spacing w:after="0" w:line="240" w:lineRule="auto"/>
              <w:rPr>
                <w:rFonts w:cs="Arial"/>
                <w:color w:val="000000"/>
                <w:szCs w:val="24"/>
                <w:lang w:eastAsia="en-GB"/>
              </w:rPr>
            </w:pPr>
            <w:r w:rsidRPr="00706288">
              <w:rPr>
                <w:rFonts w:cs="Arial"/>
                <w:color w:val="000000"/>
                <w:szCs w:val="24"/>
                <w:lang w:eastAsia="en-GB"/>
              </w:rPr>
              <w:t>Inflation and Cost Changes</w:t>
            </w:r>
          </w:p>
        </w:tc>
        <w:tc>
          <w:tcPr>
            <w:tcW w:w="1314" w:type="dxa"/>
            <w:tcBorders>
              <w:top w:val="nil"/>
              <w:left w:val="nil"/>
              <w:bottom w:val="single" w:sz="8" w:space="0" w:color="auto"/>
              <w:right w:val="single" w:sz="8" w:space="0" w:color="auto"/>
            </w:tcBorders>
            <w:shd w:val="clear" w:color="auto" w:fill="auto"/>
            <w:vAlign w:val="center"/>
            <w:hideMark/>
          </w:tcPr>
          <w:p w14:paraId="51E9D705" w14:textId="77777777" w:rsidR="00EF055A" w:rsidRPr="00706288" w:rsidRDefault="00EF055A" w:rsidP="00EF055A">
            <w:pPr>
              <w:spacing w:after="0" w:line="240" w:lineRule="auto"/>
              <w:jc w:val="right"/>
              <w:rPr>
                <w:rFonts w:cs="Arial"/>
                <w:color w:val="000000"/>
                <w:szCs w:val="24"/>
                <w:lang w:eastAsia="en-GB"/>
              </w:rPr>
            </w:pPr>
            <w:r w:rsidRPr="00A4194F">
              <w:rPr>
                <w:rFonts w:cs="Arial"/>
                <w:color w:val="000000"/>
                <w:szCs w:val="24"/>
              </w:rPr>
              <w:t>2</w:t>
            </w:r>
            <w:r w:rsidRPr="00706288">
              <w:rPr>
                <w:rFonts w:cs="Arial"/>
                <w:color w:val="000000"/>
                <w:szCs w:val="24"/>
              </w:rPr>
              <w:t>.104</w:t>
            </w:r>
          </w:p>
        </w:tc>
        <w:tc>
          <w:tcPr>
            <w:tcW w:w="1254" w:type="dxa"/>
            <w:tcBorders>
              <w:top w:val="nil"/>
              <w:left w:val="nil"/>
              <w:bottom w:val="single" w:sz="8" w:space="0" w:color="auto"/>
              <w:right w:val="single" w:sz="8" w:space="0" w:color="auto"/>
            </w:tcBorders>
            <w:shd w:val="clear" w:color="auto" w:fill="auto"/>
            <w:vAlign w:val="center"/>
            <w:hideMark/>
          </w:tcPr>
          <w:p w14:paraId="12EAC84A" w14:textId="77777777" w:rsidR="00EF055A" w:rsidRPr="00706288" w:rsidRDefault="00EF055A" w:rsidP="00EF055A">
            <w:pPr>
              <w:spacing w:after="0" w:line="240" w:lineRule="auto"/>
              <w:jc w:val="right"/>
              <w:rPr>
                <w:rFonts w:cs="Arial"/>
                <w:color w:val="000000"/>
                <w:szCs w:val="24"/>
                <w:lang w:eastAsia="en-GB"/>
              </w:rPr>
            </w:pPr>
            <w:r w:rsidRPr="00A4194F">
              <w:rPr>
                <w:rFonts w:cs="Arial"/>
                <w:color w:val="000000"/>
                <w:szCs w:val="24"/>
              </w:rPr>
              <w:t>-0.216</w:t>
            </w:r>
          </w:p>
        </w:tc>
        <w:tc>
          <w:tcPr>
            <w:tcW w:w="1254" w:type="dxa"/>
            <w:tcBorders>
              <w:top w:val="nil"/>
              <w:left w:val="nil"/>
              <w:bottom w:val="single" w:sz="8" w:space="0" w:color="auto"/>
              <w:right w:val="single" w:sz="4" w:space="0" w:color="auto"/>
            </w:tcBorders>
            <w:shd w:val="clear" w:color="auto" w:fill="auto"/>
            <w:vAlign w:val="center"/>
            <w:hideMark/>
          </w:tcPr>
          <w:p w14:paraId="541280D2" w14:textId="77777777" w:rsidR="00EF055A" w:rsidRPr="00706288" w:rsidRDefault="00EF055A" w:rsidP="00EF055A">
            <w:pPr>
              <w:spacing w:after="0" w:line="240" w:lineRule="auto"/>
              <w:jc w:val="right"/>
              <w:rPr>
                <w:rFonts w:cs="Arial"/>
                <w:color w:val="000000"/>
                <w:szCs w:val="24"/>
                <w:lang w:eastAsia="en-GB"/>
              </w:rPr>
            </w:pPr>
            <w:r w:rsidRPr="00A4194F">
              <w:rPr>
                <w:rFonts w:cs="Arial"/>
                <w:color w:val="000000"/>
                <w:szCs w:val="24"/>
              </w:rPr>
              <w:t>-0.209</w:t>
            </w:r>
          </w:p>
        </w:tc>
        <w:tc>
          <w:tcPr>
            <w:tcW w:w="1108" w:type="dxa"/>
            <w:tcBorders>
              <w:top w:val="single" w:sz="4" w:space="0" w:color="auto"/>
              <w:left w:val="single" w:sz="4" w:space="0" w:color="auto"/>
              <w:bottom w:val="single" w:sz="4" w:space="0" w:color="auto"/>
              <w:right w:val="single" w:sz="4" w:space="0" w:color="auto"/>
            </w:tcBorders>
            <w:vAlign w:val="center"/>
          </w:tcPr>
          <w:p w14:paraId="64E4CC22" w14:textId="77777777" w:rsidR="00EF055A" w:rsidRPr="00706288" w:rsidRDefault="00EF055A" w:rsidP="00EF055A">
            <w:pPr>
              <w:spacing w:after="0" w:line="240" w:lineRule="auto"/>
              <w:jc w:val="right"/>
              <w:rPr>
                <w:rFonts w:cs="Arial"/>
                <w:b/>
                <w:bCs/>
                <w:color w:val="000000"/>
                <w:szCs w:val="24"/>
                <w:lang w:eastAsia="en-GB"/>
              </w:rPr>
            </w:pPr>
            <w:r w:rsidRPr="00A4194F">
              <w:rPr>
                <w:rFonts w:cs="Arial"/>
                <w:color w:val="000000"/>
                <w:szCs w:val="24"/>
              </w:rPr>
              <w:t>-0.057</w:t>
            </w:r>
          </w:p>
        </w:tc>
        <w:tc>
          <w:tcPr>
            <w:tcW w:w="1284" w:type="dxa"/>
            <w:tcBorders>
              <w:top w:val="nil"/>
              <w:left w:val="single" w:sz="4" w:space="0" w:color="auto"/>
              <w:bottom w:val="single" w:sz="8" w:space="0" w:color="auto"/>
              <w:right w:val="single" w:sz="8" w:space="0" w:color="auto"/>
            </w:tcBorders>
            <w:shd w:val="clear" w:color="auto" w:fill="auto"/>
            <w:vAlign w:val="center"/>
            <w:hideMark/>
          </w:tcPr>
          <w:p w14:paraId="38781802" w14:textId="77777777" w:rsidR="00EF055A" w:rsidRPr="00706288" w:rsidRDefault="00EF055A" w:rsidP="00EF055A">
            <w:pPr>
              <w:spacing w:after="0" w:line="240" w:lineRule="auto"/>
              <w:jc w:val="right"/>
              <w:rPr>
                <w:rFonts w:cs="Arial"/>
                <w:b/>
                <w:bCs/>
                <w:color w:val="000000"/>
                <w:szCs w:val="24"/>
                <w:lang w:eastAsia="en-GB"/>
              </w:rPr>
            </w:pPr>
            <w:r w:rsidRPr="00A4194F">
              <w:rPr>
                <w:rFonts w:cs="Arial"/>
                <w:b/>
                <w:bCs/>
                <w:color w:val="000000"/>
                <w:szCs w:val="24"/>
              </w:rPr>
              <w:t>1.622</w:t>
            </w:r>
          </w:p>
        </w:tc>
      </w:tr>
      <w:tr w:rsidR="009C2438" w14:paraId="1317A0C2" w14:textId="77777777" w:rsidTr="00EF055A">
        <w:trPr>
          <w:trHeight w:val="615"/>
        </w:trPr>
        <w:tc>
          <w:tcPr>
            <w:tcW w:w="2792" w:type="dxa"/>
            <w:tcBorders>
              <w:top w:val="nil"/>
              <w:left w:val="single" w:sz="8" w:space="0" w:color="auto"/>
              <w:bottom w:val="single" w:sz="8" w:space="0" w:color="auto"/>
              <w:right w:val="single" w:sz="8" w:space="0" w:color="auto"/>
            </w:tcBorders>
            <w:shd w:val="clear" w:color="auto" w:fill="auto"/>
            <w:vAlign w:val="center"/>
            <w:hideMark/>
          </w:tcPr>
          <w:p w14:paraId="48290E06" w14:textId="77777777" w:rsidR="00EF055A" w:rsidRPr="00706288" w:rsidRDefault="00EF055A" w:rsidP="00EF055A">
            <w:pPr>
              <w:spacing w:after="0" w:line="240" w:lineRule="auto"/>
              <w:rPr>
                <w:rFonts w:cs="Arial"/>
                <w:color w:val="000000"/>
                <w:szCs w:val="24"/>
                <w:lang w:eastAsia="en-GB"/>
              </w:rPr>
            </w:pPr>
            <w:r w:rsidRPr="00706288">
              <w:rPr>
                <w:rFonts w:cs="Arial"/>
                <w:color w:val="000000"/>
                <w:szCs w:val="24"/>
                <w:lang w:eastAsia="en-GB"/>
              </w:rPr>
              <w:t>Service Demand and Volume Pressures</w:t>
            </w:r>
          </w:p>
        </w:tc>
        <w:tc>
          <w:tcPr>
            <w:tcW w:w="1314" w:type="dxa"/>
            <w:tcBorders>
              <w:top w:val="nil"/>
              <w:left w:val="nil"/>
              <w:bottom w:val="single" w:sz="8" w:space="0" w:color="auto"/>
              <w:right w:val="single" w:sz="8" w:space="0" w:color="auto"/>
            </w:tcBorders>
            <w:shd w:val="clear" w:color="auto" w:fill="auto"/>
            <w:vAlign w:val="center"/>
            <w:hideMark/>
          </w:tcPr>
          <w:p w14:paraId="6A0BD51E" w14:textId="77777777" w:rsidR="00EF055A" w:rsidRPr="00706288" w:rsidRDefault="00EF055A" w:rsidP="00EF055A">
            <w:pPr>
              <w:spacing w:after="0" w:line="240" w:lineRule="auto"/>
              <w:jc w:val="right"/>
              <w:rPr>
                <w:rFonts w:cs="Arial"/>
                <w:color w:val="000000"/>
                <w:szCs w:val="24"/>
                <w:lang w:eastAsia="en-GB"/>
              </w:rPr>
            </w:pPr>
            <w:r w:rsidRPr="00706288">
              <w:rPr>
                <w:rFonts w:cs="Arial"/>
                <w:color w:val="000000"/>
                <w:szCs w:val="24"/>
              </w:rPr>
              <w:t>-1.874</w:t>
            </w:r>
          </w:p>
        </w:tc>
        <w:tc>
          <w:tcPr>
            <w:tcW w:w="1254" w:type="dxa"/>
            <w:tcBorders>
              <w:top w:val="nil"/>
              <w:left w:val="nil"/>
              <w:bottom w:val="single" w:sz="8" w:space="0" w:color="auto"/>
              <w:right w:val="single" w:sz="8" w:space="0" w:color="auto"/>
            </w:tcBorders>
            <w:shd w:val="clear" w:color="auto" w:fill="auto"/>
            <w:vAlign w:val="center"/>
            <w:hideMark/>
          </w:tcPr>
          <w:p w14:paraId="62FBD10A" w14:textId="77777777" w:rsidR="00EF055A" w:rsidRPr="00706288" w:rsidRDefault="00EF055A" w:rsidP="00EF055A">
            <w:pPr>
              <w:spacing w:after="0" w:line="240" w:lineRule="auto"/>
              <w:jc w:val="right"/>
              <w:rPr>
                <w:rFonts w:cs="Arial"/>
                <w:color w:val="000000"/>
                <w:szCs w:val="24"/>
                <w:lang w:eastAsia="en-GB"/>
              </w:rPr>
            </w:pPr>
            <w:r w:rsidRPr="00706288">
              <w:rPr>
                <w:rFonts w:cs="Arial"/>
                <w:color w:val="000000"/>
                <w:szCs w:val="24"/>
              </w:rPr>
              <w:t>-0.999</w:t>
            </w:r>
          </w:p>
        </w:tc>
        <w:tc>
          <w:tcPr>
            <w:tcW w:w="1254" w:type="dxa"/>
            <w:tcBorders>
              <w:top w:val="nil"/>
              <w:left w:val="nil"/>
              <w:bottom w:val="single" w:sz="8" w:space="0" w:color="auto"/>
              <w:right w:val="single" w:sz="4" w:space="0" w:color="auto"/>
            </w:tcBorders>
            <w:shd w:val="clear" w:color="auto" w:fill="auto"/>
            <w:vAlign w:val="center"/>
            <w:hideMark/>
          </w:tcPr>
          <w:p w14:paraId="718F511C" w14:textId="77777777" w:rsidR="00EF055A" w:rsidRPr="00706288" w:rsidRDefault="00EF055A" w:rsidP="00EF055A">
            <w:pPr>
              <w:spacing w:after="0" w:line="240" w:lineRule="auto"/>
              <w:jc w:val="right"/>
              <w:rPr>
                <w:rFonts w:cs="Arial"/>
                <w:color w:val="000000"/>
                <w:szCs w:val="24"/>
                <w:lang w:eastAsia="en-GB"/>
              </w:rPr>
            </w:pPr>
            <w:r w:rsidRPr="00706288">
              <w:rPr>
                <w:rFonts w:cs="Arial"/>
                <w:color w:val="000000"/>
                <w:szCs w:val="24"/>
              </w:rPr>
              <w:t>-0.565</w:t>
            </w:r>
          </w:p>
        </w:tc>
        <w:tc>
          <w:tcPr>
            <w:tcW w:w="1108" w:type="dxa"/>
            <w:tcBorders>
              <w:top w:val="single" w:sz="4" w:space="0" w:color="auto"/>
              <w:left w:val="single" w:sz="4" w:space="0" w:color="auto"/>
              <w:bottom w:val="single" w:sz="4" w:space="0" w:color="auto"/>
              <w:right w:val="single" w:sz="4" w:space="0" w:color="auto"/>
            </w:tcBorders>
            <w:vAlign w:val="center"/>
          </w:tcPr>
          <w:p w14:paraId="22278F44" w14:textId="77777777" w:rsidR="00EF055A" w:rsidRPr="00706288" w:rsidRDefault="00EF055A" w:rsidP="00EF055A">
            <w:pPr>
              <w:spacing w:after="0" w:line="240" w:lineRule="auto"/>
              <w:jc w:val="right"/>
              <w:rPr>
                <w:rFonts w:cs="Arial"/>
                <w:b/>
                <w:bCs/>
                <w:color w:val="000000"/>
                <w:szCs w:val="24"/>
                <w:lang w:eastAsia="en-GB"/>
              </w:rPr>
            </w:pPr>
            <w:r w:rsidRPr="00706288">
              <w:rPr>
                <w:rFonts w:cs="Arial"/>
                <w:color w:val="000000"/>
                <w:szCs w:val="24"/>
              </w:rPr>
              <w:t>-0.917</w:t>
            </w:r>
          </w:p>
        </w:tc>
        <w:tc>
          <w:tcPr>
            <w:tcW w:w="1284" w:type="dxa"/>
            <w:tcBorders>
              <w:top w:val="nil"/>
              <w:left w:val="single" w:sz="4" w:space="0" w:color="auto"/>
              <w:bottom w:val="single" w:sz="8" w:space="0" w:color="auto"/>
              <w:right w:val="single" w:sz="8" w:space="0" w:color="auto"/>
            </w:tcBorders>
            <w:shd w:val="clear" w:color="auto" w:fill="auto"/>
            <w:vAlign w:val="center"/>
            <w:hideMark/>
          </w:tcPr>
          <w:p w14:paraId="62AFF35A" w14:textId="77777777" w:rsidR="00EF055A" w:rsidRPr="00706288" w:rsidRDefault="00EF055A" w:rsidP="00EF055A">
            <w:pPr>
              <w:spacing w:after="0" w:line="240" w:lineRule="auto"/>
              <w:jc w:val="right"/>
              <w:rPr>
                <w:rFonts w:cs="Arial"/>
                <w:b/>
                <w:bCs/>
                <w:color w:val="000000"/>
                <w:szCs w:val="24"/>
                <w:lang w:eastAsia="en-GB"/>
              </w:rPr>
            </w:pPr>
            <w:r w:rsidRPr="00706288">
              <w:rPr>
                <w:rFonts w:cs="Arial"/>
                <w:b/>
                <w:bCs/>
                <w:color w:val="000000"/>
                <w:szCs w:val="24"/>
              </w:rPr>
              <w:t>-4.35</w:t>
            </w:r>
            <w:r>
              <w:rPr>
                <w:rFonts w:cs="Arial"/>
                <w:b/>
                <w:bCs/>
                <w:color w:val="000000"/>
                <w:szCs w:val="24"/>
              </w:rPr>
              <w:t>5</w:t>
            </w:r>
          </w:p>
        </w:tc>
      </w:tr>
      <w:tr w:rsidR="009C2438" w14:paraId="7732266E" w14:textId="77777777" w:rsidTr="00EF055A">
        <w:trPr>
          <w:trHeight w:val="360"/>
        </w:trPr>
        <w:tc>
          <w:tcPr>
            <w:tcW w:w="2792" w:type="dxa"/>
            <w:tcBorders>
              <w:top w:val="nil"/>
              <w:left w:val="single" w:sz="8" w:space="0" w:color="auto"/>
              <w:bottom w:val="single" w:sz="8" w:space="0" w:color="auto"/>
              <w:right w:val="single" w:sz="8" w:space="0" w:color="auto"/>
            </w:tcBorders>
            <w:shd w:val="clear" w:color="auto" w:fill="auto"/>
            <w:vAlign w:val="center"/>
            <w:hideMark/>
          </w:tcPr>
          <w:p w14:paraId="0C7EFCE2" w14:textId="77777777" w:rsidR="00EF055A" w:rsidRPr="00A4194F" w:rsidRDefault="00EF055A" w:rsidP="00EF055A">
            <w:pPr>
              <w:spacing w:after="0" w:line="240" w:lineRule="auto"/>
              <w:rPr>
                <w:rFonts w:cs="Arial"/>
                <w:color w:val="000000"/>
                <w:szCs w:val="24"/>
                <w:lang w:eastAsia="en-GB"/>
              </w:rPr>
            </w:pPr>
            <w:r w:rsidRPr="00A4194F">
              <w:rPr>
                <w:rFonts w:cs="Arial"/>
                <w:color w:val="000000"/>
                <w:szCs w:val="24"/>
                <w:lang w:eastAsia="en-GB"/>
              </w:rPr>
              <w:t>Other</w:t>
            </w:r>
          </w:p>
        </w:tc>
        <w:tc>
          <w:tcPr>
            <w:tcW w:w="1314" w:type="dxa"/>
            <w:tcBorders>
              <w:top w:val="nil"/>
              <w:left w:val="nil"/>
              <w:bottom w:val="single" w:sz="8" w:space="0" w:color="auto"/>
              <w:right w:val="single" w:sz="8" w:space="0" w:color="auto"/>
            </w:tcBorders>
            <w:shd w:val="clear" w:color="auto" w:fill="auto"/>
            <w:vAlign w:val="center"/>
            <w:hideMark/>
          </w:tcPr>
          <w:p w14:paraId="7EB82BBC" w14:textId="77777777" w:rsidR="00EF055A" w:rsidRPr="00706288" w:rsidRDefault="00EF055A" w:rsidP="00EF055A">
            <w:pPr>
              <w:spacing w:after="0" w:line="240" w:lineRule="auto"/>
              <w:jc w:val="right"/>
              <w:rPr>
                <w:rFonts w:cs="Arial"/>
                <w:color w:val="000000"/>
                <w:szCs w:val="24"/>
                <w:lang w:eastAsia="en-GB"/>
              </w:rPr>
            </w:pPr>
            <w:r w:rsidRPr="00706288">
              <w:rPr>
                <w:rFonts w:cs="Arial"/>
                <w:color w:val="000000"/>
                <w:szCs w:val="24"/>
              </w:rPr>
              <w:t>0.372</w:t>
            </w:r>
          </w:p>
        </w:tc>
        <w:tc>
          <w:tcPr>
            <w:tcW w:w="1254" w:type="dxa"/>
            <w:tcBorders>
              <w:top w:val="nil"/>
              <w:left w:val="nil"/>
              <w:bottom w:val="single" w:sz="8" w:space="0" w:color="auto"/>
              <w:right w:val="single" w:sz="8" w:space="0" w:color="auto"/>
            </w:tcBorders>
            <w:shd w:val="clear" w:color="auto" w:fill="auto"/>
            <w:vAlign w:val="center"/>
            <w:hideMark/>
          </w:tcPr>
          <w:p w14:paraId="7A72CFFE" w14:textId="77777777" w:rsidR="00EF055A" w:rsidRPr="00706288" w:rsidRDefault="00EF055A" w:rsidP="00EF055A">
            <w:pPr>
              <w:spacing w:after="0" w:line="240" w:lineRule="auto"/>
              <w:jc w:val="right"/>
              <w:rPr>
                <w:rFonts w:cs="Arial"/>
                <w:color w:val="000000"/>
                <w:szCs w:val="24"/>
                <w:lang w:eastAsia="en-GB"/>
              </w:rPr>
            </w:pPr>
            <w:r w:rsidRPr="00706288">
              <w:rPr>
                <w:rFonts w:cs="Arial"/>
                <w:color w:val="000000"/>
                <w:szCs w:val="24"/>
              </w:rPr>
              <w:t>0.204</w:t>
            </w:r>
          </w:p>
        </w:tc>
        <w:tc>
          <w:tcPr>
            <w:tcW w:w="1254" w:type="dxa"/>
            <w:tcBorders>
              <w:top w:val="nil"/>
              <w:left w:val="nil"/>
              <w:bottom w:val="single" w:sz="8" w:space="0" w:color="auto"/>
              <w:right w:val="single" w:sz="4" w:space="0" w:color="auto"/>
            </w:tcBorders>
            <w:shd w:val="clear" w:color="auto" w:fill="auto"/>
            <w:vAlign w:val="center"/>
            <w:hideMark/>
          </w:tcPr>
          <w:p w14:paraId="21A2377D" w14:textId="77777777" w:rsidR="00EF055A" w:rsidRPr="00706288" w:rsidRDefault="00EF055A" w:rsidP="00EF055A">
            <w:pPr>
              <w:spacing w:after="0" w:line="240" w:lineRule="auto"/>
              <w:jc w:val="right"/>
              <w:rPr>
                <w:rFonts w:cs="Arial"/>
                <w:color w:val="000000"/>
                <w:szCs w:val="24"/>
                <w:lang w:eastAsia="en-GB"/>
              </w:rPr>
            </w:pPr>
            <w:r w:rsidRPr="00706288">
              <w:rPr>
                <w:rFonts w:cs="Arial"/>
                <w:color w:val="000000"/>
                <w:szCs w:val="24"/>
              </w:rPr>
              <w:t>-0.144</w:t>
            </w:r>
          </w:p>
        </w:tc>
        <w:tc>
          <w:tcPr>
            <w:tcW w:w="1108" w:type="dxa"/>
            <w:tcBorders>
              <w:top w:val="single" w:sz="4" w:space="0" w:color="auto"/>
              <w:left w:val="single" w:sz="4" w:space="0" w:color="auto"/>
              <w:bottom w:val="single" w:sz="4" w:space="0" w:color="auto"/>
              <w:right w:val="single" w:sz="4" w:space="0" w:color="auto"/>
            </w:tcBorders>
            <w:vAlign w:val="center"/>
          </w:tcPr>
          <w:p w14:paraId="673785C2" w14:textId="77777777" w:rsidR="00EF055A" w:rsidRPr="00706288" w:rsidRDefault="00EF055A" w:rsidP="00EF055A">
            <w:pPr>
              <w:spacing w:after="0" w:line="240" w:lineRule="auto"/>
              <w:jc w:val="right"/>
              <w:rPr>
                <w:rFonts w:cs="Arial"/>
                <w:b/>
                <w:bCs/>
                <w:color w:val="000000"/>
                <w:szCs w:val="24"/>
                <w:lang w:eastAsia="en-GB"/>
              </w:rPr>
            </w:pPr>
            <w:r w:rsidRPr="00706288">
              <w:rPr>
                <w:rFonts w:cs="Arial"/>
                <w:color w:val="000000"/>
                <w:szCs w:val="24"/>
              </w:rPr>
              <w:t>0.000</w:t>
            </w:r>
          </w:p>
        </w:tc>
        <w:tc>
          <w:tcPr>
            <w:tcW w:w="1284" w:type="dxa"/>
            <w:tcBorders>
              <w:top w:val="nil"/>
              <w:left w:val="single" w:sz="4" w:space="0" w:color="auto"/>
              <w:bottom w:val="single" w:sz="8" w:space="0" w:color="auto"/>
              <w:right w:val="single" w:sz="8" w:space="0" w:color="auto"/>
            </w:tcBorders>
            <w:shd w:val="clear" w:color="auto" w:fill="auto"/>
            <w:vAlign w:val="center"/>
            <w:hideMark/>
          </w:tcPr>
          <w:p w14:paraId="58134B07" w14:textId="77777777" w:rsidR="00EF055A" w:rsidRPr="00706288" w:rsidRDefault="00EF055A" w:rsidP="00EF055A">
            <w:pPr>
              <w:spacing w:after="0" w:line="240" w:lineRule="auto"/>
              <w:jc w:val="right"/>
              <w:rPr>
                <w:rFonts w:cs="Arial"/>
                <w:b/>
                <w:bCs/>
                <w:color w:val="000000"/>
                <w:szCs w:val="24"/>
                <w:lang w:eastAsia="en-GB"/>
              </w:rPr>
            </w:pPr>
            <w:r w:rsidRPr="00706288">
              <w:rPr>
                <w:rFonts w:cs="Arial"/>
                <w:b/>
                <w:bCs/>
                <w:color w:val="000000"/>
                <w:szCs w:val="24"/>
              </w:rPr>
              <w:t>0.432</w:t>
            </w:r>
          </w:p>
        </w:tc>
      </w:tr>
      <w:tr w:rsidR="009C2438" w14:paraId="06B85B43" w14:textId="77777777" w:rsidTr="00EF055A">
        <w:trPr>
          <w:trHeight w:val="360"/>
        </w:trPr>
        <w:tc>
          <w:tcPr>
            <w:tcW w:w="2792" w:type="dxa"/>
            <w:tcBorders>
              <w:top w:val="nil"/>
              <w:left w:val="single" w:sz="8" w:space="0" w:color="auto"/>
              <w:bottom w:val="single" w:sz="8" w:space="0" w:color="auto"/>
              <w:right w:val="single" w:sz="8" w:space="0" w:color="auto"/>
            </w:tcBorders>
            <w:shd w:val="clear" w:color="auto" w:fill="auto"/>
            <w:vAlign w:val="center"/>
          </w:tcPr>
          <w:p w14:paraId="59F93076" w14:textId="77777777" w:rsidR="00EF055A" w:rsidRPr="00A4194F" w:rsidRDefault="00EF055A" w:rsidP="00EF055A">
            <w:pPr>
              <w:spacing w:after="0" w:line="240" w:lineRule="auto"/>
              <w:rPr>
                <w:rFonts w:cs="Arial"/>
                <w:color w:val="000000"/>
                <w:szCs w:val="24"/>
                <w:lang w:eastAsia="en-GB"/>
              </w:rPr>
            </w:pPr>
            <w:r w:rsidRPr="00A4194F">
              <w:rPr>
                <w:rFonts w:cs="Arial"/>
                <w:color w:val="000000"/>
                <w:szCs w:val="24"/>
                <w:lang w:eastAsia="en-GB"/>
              </w:rPr>
              <w:t>Additional Grant</w:t>
            </w:r>
          </w:p>
        </w:tc>
        <w:tc>
          <w:tcPr>
            <w:tcW w:w="1314" w:type="dxa"/>
            <w:tcBorders>
              <w:top w:val="nil"/>
              <w:left w:val="nil"/>
              <w:bottom w:val="single" w:sz="8" w:space="0" w:color="auto"/>
              <w:right w:val="single" w:sz="8" w:space="0" w:color="auto"/>
            </w:tcBorders>
            <w:shd w:val="clear" w:color="auto" w:fill="auto"/>
            <w:vAlign w:val="center"/>
          </w:tcPr>
          <w:p w14:paraId="47C50B4A" w14:textId="77777777" w:rsidR="00EF055A" w:rsidRPr="00706288" w:rsidRDefault="00EF055A" w:rsidP="00EF055A">
            <w:pPr>
              <w:spacing w:after="0" w:line="240" w:lineRule="auto"/>
              <w:jc w:val="right"/>
              <w:rPr>
                <w:rFonts w:cs="Arial"/>
                <w:color w:val="000000"/>
                <w:szCs w:val="24"/>
                <w:lang w:eastAsia="en-GB"/>
              </w:rPr>
            </w:pPr>
            <w:r w:rsidRPr="00706288">
              <w:rPr>
                <w:rFonts w:cs="Arial"/>
                <w:color w:val="000000"/>
                <w:szCs w:val="24"/>
              </w:rPr>
              <w:t>-3.098</w:t>
            </w:r>
          </w:p>
        </w:tc>
        <w:tc>
          <w:tcPr>
            <w:tcW w:w="1254" w:type="dxa"/>
            <w:tcBorders>
              <w:top w:val="nil"/>
              <w:left w:val="nil"/>
              <w:bottom w:val="single" w:sz="8" w:space="0" w:color="auto"/>
              <w:right w:val="single" w:sz="8" w:space="0" w:color="auto"/>
            </w:tcBorders>
            <w:shd w:val="clear" w:color="auto" w:fill="auto"/>
            <w:vAlign w:val="center"/>
          </w:tcPr>
          <w:p w14:paraId="6D4EE95A" w14:textId="77777777" w:rsidR="00EF055A" w:rsidRPr="00A4194F" w:rsidRDefault="00EF055A" w:rsidP="00EF055A">
            <w:pPr>
              <w:spacing w:after="0" w:line="240" w:lineRule="auto"/>
              <w:jc w:val="right"/>
              <w:rPr>
                <w:rFonts w:cs="Arial"/>
                <w:color w:val="000000"/>
                <w:szCs w:val="24"/>
                <w:lang w:eastAsia="en-GB"/>
              </w:rPr>
            </w:pPr>
            <w:r w:rsidRPr="00A4194F">
              <w:rPr>
                <w:rFonts w:cs="Arial"/>
                <w:color w:val="000000"/>
                <w:szCs w:val="24"/>
              </w:rPr>
              <w:t>1.147</w:t>
            </w:r>
          </w:p>
        </w:tc>
        <w:tc>
          <w:tcPr>
            <w:tcW w:w="1254" w:type="dxa"/>
            <w:tcBorders>
              <w:top w:val="nil"/>
              <w:left w:val="nil"/>
              <w:bottom w:val="single" w:sz="8" w:space="0" w:color="auto"/>
              <w:right w:val="single" w:sz="4" w:space="0" w:color="auto"/>
            </w:tcBorders>
            <w:shd w:val="clear" w:color="auto" w:fill="auto"/>
            <w:vAlign w:val="center"/>
          </w:tcPr>
          <w:p w14:paraId="075B08E0" w14:textId="77777777" w:rsidR="00EF055A" w:rsidRPr="00A4194F" w:rsidRDefault="00EF055A" w:rsidP="00EF055A">
            <w:pPr>
              <w:spacing w:after="0" w:line="240" w:lineRule="auto"/>
              <w:jc w:val="right"/>
              <w:rPr>
                <w:rFonts w:cs="Arial"/>
                <w:color w:val="000000"/>
                <w:szCs w:val="24"/>
                <w:lang w:eastAsia="en-GB"/>
              </w:rPr>
            </w:pPr>
            <w:r w:rsidRPr="00A4194F">
              <w:rPr>
                <w:rFonts w:cs="Arial"/>
                <w:color w:val="000000"/>
                <w:szCs w:val="24"/>
              </w:rPr>
              <w:t>1.070</w:t>
            </w:r>
          </w:p>
        </w:tc>
        <w:tc>
          <w:tcPr>
            <w:tcW w:w="1108" w:type="dxa"/>
            <w:tcBorders>
              <w:top w:val="single" w:sz="4" w:space="0" w:color="auto"/>
              <w:left w:val="single" w:sz="4" w:space="0" w:color="auto"/>
              <w:bottom w:val="single" w:sz="4" w:space="0" w:color="auto"/>
              <w:right w:val="single" w:sz="4" w:space="0" w:color="auto"/>
            </w:tcBorders>
            <w:vAlign w:val="center"/>
          </w:tcPr>
          <w:p w14:paraId="4A70317F"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color w:val="000000"/>
                <w:szCs w:val="24"/>
              </w:rPr>
              <w:t>0.881</w:t>
            </w:r>
          </w:p>
        </w:tc>
        <w:tc>
          <w:tcPr>
            <w:tcW w:w="1284" w:type="dxa"/>
            <w:tcBorders>
              <w:top w:val="nil"/>
              <w:left w:val="single" w:sz="4" w:space="0" w:color="auto"/>
              <w:bottom w:val="single" w:sz="8" w:space="0" w:color="auto"/>
              <w:right w:val="single" w:sz="8" w:space="0" w:color="auto"/>
            </w:tcBorders>
            <w:shd w:val="clear" w:color="auto" w:fill="auto"/>
            <w:vAlign w:val="center"/>
          </w:tcPr>
          <w:p w14:paraId="4D27B0D9"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b/>
                <w:bCs/>
                <w:color w:val="000000"/>
                <w:szCs w:val="24"/>
              </w:rPr>
              <w:t>0.000</w:t>
            </w:r>
          </w:p>
        </w:tc>
      </w:tr>
      <w:tr w:rsidR="009C2438" w14:paraId="6B9F3098" w14:textId="77777777" w:rsidTr="00EF055A">
        <w:trPr>
          <w:trHeight w:val="345"/>
        </w:trPr>
        <w:tc>
          <w:tcPr>
            <w:tcW w:w="2792" w:type="dxa"/>
            <w:tcBorders>
              <w:top w:val="nil"/>
              <w:left w:val="single" w:sz="8" w:space="0" w:color="auto"/>
              <w:bottom w:val="single" w:sz="8" w:space="0" w:color="auto"/>
              <w:right w:val="single" w:sz="8" w:space="0" w:color="auto"/>
            </w:tcBorders>
            <w:shd w:val="clear" w:color="auto" w:fill="auto"/>
            <w:vAlign w:val="center"/>
            <w:hideMark/>
          </w:tcPr>
          <w:p w14:paraId="6991D86D" w14:textId="77777777" w:rsidR="00EF055A" w:rsidRPr="00A4194F" w:rsidRDefault="00EF055A" w:rsidP="00EF055A">
            <w:pPr>
              <w:spacing w:after="0" w:line="240" w:lineRule="auto"/>
              <w:rPr>
                <w:rFonts w:cs="Arial"/>
                <w:szCs w:val="24"/>
                <w:lang w:eastAsia="en-GB"/>
              </w:rPr>
            </w:pPr>
            <w:r w:rsidRPr="00A4194F">
              <w:rPr>
                <w:rFonts w:cs="Arial"/>
                <w:szCs w:val="24"/>
                <w:lang w:eastAsia="en-GB"/>
              </w:rPr>
              <w:t>Savings Adjustments</w:t>
            </w:r>
          </w:p>
        </w:tc>
        <w:tc>
          <w:tcPr>
            <w:tcW w:w="1314" w:type="dxa"/>
            <w:tcBorders>
              <w:top w:val="nil"/>
              <w:left w:val="nil"/>
              <w:bottom w:val="single" w:sz="8" w:space="0" w:color="auto"/>
              <w:right w:val="single" w:sz="8" w:space="0" w:color="auto"/>
            </w:tcBorders>
            <w:shd w:val="clear" w:color="auto" w:fill="auto"/>
            <w:vAlign w:val="center"/>
            <w:hideMark/>
          </w:tcPr>
          <w:p w14:paraId="1B28CB8E" w14:textId="77777777" w:rsidR="00EF055A" w:rsidRPr="00A4194F" w:rsidRDefault="00EF055A" w:rsidP="00EF055A">
            <w:pPr>
              <w:spacing w:after="0" w:line="240" w:lineRule="auto"/>
              <w:jc w:val="right"/>
              <w:rPr>
                <w:rFonts w:cs="Arial"/>
                <w:color w:val="000000"/>
                <w:szCs w:val="24"/>
                <w:highlight w:val="yellow"/>
                <w:lang w:eastAsia="en-GB"/>
              </w:rPr>
            </w:pPr>
            <w:r w:rsidRPr="00A4194F">
              <w:rPr>
                <w:rFonts w:cs="Arial"/>
                <w:color w:val="000000"/>
                <w:szCs w:val="24"/>
              </w:rPr>
              <w:t>0.100</w:t>
            </w:r>
          </w:p>
        </w:tc>
        <w:tc>
          <w:tcPr>
            <w:tcW w:w="1254" w:type="dxa"/>
            <w:tcBorders>
              <w:top w:val="nil"/>
              <w:left w:val="nil"/>
              <w:bottom w:val="single" w:sz="8" w:space="0" w:color="auto"/>
              <w:right w:val="single" w:sz="8" w:space="0" w:color="auto"/>
            </w:tcBorders>
            <w:shd w:val="clear" w:color="auto" w:fill="auto"/>
            <w:vAlign w:val="center"/>
            <w:hideMark/>
          </w:tcPr>
          <w:p w14:paraId="0715C707" w14:textId="77777777" w:rsidR="00EF055A" w:rsidRPr="00A4194F" w:rsidRDefault="00EF055A" w:rsidP="00EF055A">
            <w:pPr>
              <w:spacing w:after="0" w:line="240" w:lineRule="auto"/>
              <w:jc w:val="right"/>
              <w:rPr>
                <w:rFonts w:cs="Arial"/>
                <w:color w:val="000000"/>
                <w:szCs w:val="24"/>
                <w:highlight w:val="yellow"/>
                <w:lang w:eastAsia="en-GB"/>
              </w:rPr>
            </w:pPr>
            <w:r w:rsidRPr="00A4194F">
              <w:rPr>
                <w:rFonts w:cs="Arial"/>
                <w:color w:val="000000"/>
                <w:szCs w:val="24"/>
              </w:rPr>
              <w:t>0.100</w:t>
            </w:r>
          </w:p>
        </w:tc>
        <w:tc>
          <w:tcPr>
            <w:tcW w:w="1254" w:type="dxa"/>
            <w:tcBorders>
              <w:top w:val="nil"/>
              <w:left w:val="nil"/>
              <w:bottom w:val="single" w:sz="8" w:space="0" w:color="auto"/>
              <w:right w:val="single" w:sz="4" w:space="0" w:color="auto"/>
            </w:tcBorders>
            <w:shd w:val="clear" w:color="auto" w:fill="auto"/>
            <w:vAlign w:val="center"/>
            <w:hideMark/>
          </w:tcPr>
          <w:p w14:paraId="6981131C" w14:textId="77777777" w:rsidR="00EF055A" w:rsidRPr="00A4194F" w:rsidRDefault="00EF055A" w:rsidP="00EF055A">
            <w:pPr>
              <w:spacing w:after="0" w:line="240" w:lineRule="auto"/>
              <w:jc w:val="right"/>
              <w:rPr>
                <w:rFonts w:cs="Arial"/>
                <w:color w:val="000000"/>
                <w:szCs w:val="24"/>
                <w:highlight w:val="yellow"/>
                <w:lang w:eastAsia="en-GB"/>
              </w:rPr>
            </w:pPr>
            <w:r w:rsidRPr="00A4194F">
              <w:rPr>
                <w:rFonts w:cs="Arial"/>
                <w:color w:val="000000"/>
                <w:szCs w:val="24"/>
              </w:rPr>
              <w:t>0.100</w:t>
            </w:r>
          </w:p>
        </w:tc>
        <w:tc>
          <w:tcPr>
            <w:tcW w:w="1108" w:type="dxa"/>
            <w:tcBorders>
              <w:top w:val="single" w:sz="4" w:space="0" w:color="auto"/>
              <w:left w:val="single" w:sz="4" w:space="0" w:color="auto"/>
              <w:bottom w:val="single" w:sz="4" w:space="0" w:color="auto"/>
              <w:right w:val="single" w:sz="4" w:space="0" w:color="auto"/>
            </w:tcBorders>
            <w:vAlign w:val="center"/>
          </w:tcPr>
          <w:p w14:paraId="17C70286" w14:textId="77777777" w:rsidR="00EF055A" w:rsidRPr="00A4194F" w:rsidRDefault="00EF055A" w:rsidP="00EF055A">
            <w:pPr>
              <w:spacing w:after="0" w:line="240" w:lineRule="auto"/>
              <w:jc w:val="right"/>
              <w:rPr>
                <w:rFonts w:cs="Arial"/>
                <w:b/>
                <w:bCs/>
                <w:color w:val="000000"/>
                <w:szCs w:val="24"/>
                <w:highlight w:val="yellow"/>
                <w:lang w:eastAsia="en-GB"/>
              </w:rPr>
            </w:pPr>
            <w:r w:rsidRPr="00A4194F">
              <w:rPr>
                <w:rFonts w:cs="Arial"/>
                <w:color w:val="000000"/>
                <w:szCs w:val="24"/>
              </w:rPr>
              <w:t>-0.300</w:t>
            </w:r>
          </w:p>
        </w:tc>
        <w:tc>
          <w:tcPr>
            <w:tcW w:w="1284" w:type="dxa"/>
            <w:tcBorders>
              <w:top w:val="nil"/>
              <w:left w:val="single" w:sz="4" w:space="0" w:color="auto"/>
              <w:bottom w:val="single" w:sz="8" w:space="0" w:color="auto"/>
              <w:right w:val="single" w:sz="8" w:space="0" w:color="auto"/>
            </w:tcBorders>
            <w:shd w:val="clear" w:color="auto" w:fill="auto"/>
            <w:vAlign w:val="center"/>
            <w:hideMark/>
          </w:tcPr>
          <w:p w14:paraId="48B890FE" w14:textId="77777777" w:rsidR="00EF055A" w:rsidRPr="00A4194F" w:rsidRDefault="00EF055A" w:rsidP="00EF055A">
            <w:pPr>
              <w:spacing w:after="0" w:line="240" w:lineRule="auto"/>
              <w:jc w:val="right"/>
              <w:rPr>
                <w:rFonts w:cs="Arial"/>
                <w:b/>
                <w:bCs/>
                <w:color w:val="000000"/>
                <w:szCs w:val="24"/>
                <w:highlight w:val="yellow"/>
                <w:lang w:eastAsia="en-GB"/>
              </w:rPr>
            </w:pPr>
            <w:r w:rsidRPr="00A4194F">
              <w:rPr>
                <w:rFonts w:cs="Arial"/>
                <w:b/>
                <w:bCs/>
                <w:color w:val="000000"/>
                <w:szCs w:val="24"/>
              </w:rPr>
              <w:t>0.000</w:t>
            </w:r>
          </w:p>
        </w:tc>
      </w:tr>
      <w:tr w:rsidR="009C2438" w14:paraId="7E54C858" w14:textId="77777777" w:rsidTr="00EF055A">
        <w:trPr>
          <w:trHeight w:val="630"/>
        </w:trPr>
        <w:tc>
          <w:tcPr>
            <w:tcW w:w="2792" w:type="dxa"/>
            <w:tcBorders>
              <w:top w:val="nil"/>
              <w:left w:val="single" w:sz="8" w:space="0" w:color="auto"/>
              <w:bottom w:val="single" w:sz="8" w:space="0" w:color="auto"/>
              <w:right w:val="single" w:sz="8" w:space="0" w:color="auto"/>
            </w:tcBorders>
            <w:shd w:val="clear" w:color="000000" w:fill="D9D9D9"/>
            <w:vAlign w:val="center"/>
            <w:hideMark/>
          </w:tcPr>
          <w:p w14:paraId="55182CA1" w14:textId="77777777" w:rsidR="00EF055A" w:rsidRPr="00A4194F" w:rsidRDefault="00EF055A" w:rsidP="00EF055A">
            <w:pPr>
              <w:spacing w:after="0" w:line="240" w:lineRule="auto"/>
              <w:rPr>
                <w:rFonts w:cs="Arial"/>
                <w:b/>
                <w:bCs/>
                <w:color w:val="000000"/>
                <w:szCs w:val="24"/>
                <w:lang w:eastAsia="en-GB"/>
              </w:rPr>
            </w:pPr>
            <w:r w:rsidRPr="00A4194F">
              <w:rPr>
                <w:rFonts w:cs="Arial"/>
                <w:b/>
                <w:bCs/>
                <w:color w:val="000000"/>
                <w:szCs w:val="24"/>
                <w:lang w:eastAsia="en-GB"/>
              </w:rPr>
              <w:t>Total Change to Forecast of Spending</w:t>
            </w:r>
          </w:p>
        </w:tc>
        <w:tc>
          <w:tcPr>
            <w:tcW w:w="1314" w:type="dxa"/>
            <w:tcBorders>
              <w:top w:val="nil"/>
              <w:left w:val="nil"/>
              <w:bottom w:val="single" w:sz="8" w:space="0" w:color="auto"/>
              <w:right w:val="single" w:sz="8" w:space="0" w:color="auto"/>
            </w:tcBorders>
            <w:shd w:val="clear" w:color="000000" w:fill="D9D9D9"/>
            <w:vAlign w:val="center"/>
            <w:hideMark/>
          </w:tcPr>
          <w:p w14:paraId="1B750E9B" w14:textId="77777777" w:rsidR="00EF055A" w:rsidRPr="00A4194F" w:rsidRDefault="00EF055A" w:rsidP="00EF055A">
            <w:pPr>
              <w:spacing w:after="0" w:line="240" w:lineRule="auto"/>
              <w:jc w:val="right"/>
              <w:rPr>
                <w:rFonts w:cs="Arial"/>
                <w:b/>
                <w:bCs/>
                <w:color w:val="000000"/>
                <w:szCs w:val="24"/>
                <w:highlight w:val="yellow"/>
                <w:lang w:eastAsia="en-GB"/>
              </w:rPr>
            </w:pPr>
            <w:r w:rsidRPr="00A4194F">
              <w:rPr>
                <w:rFonts w:cs="Arial"/>
                <w:b/>
                <w:bCs/>
                <w:color w:val="000000"/>
                <w:szCs w:val="24"/>
              </w:rPr>
              <w:t>-3.591</w:t>
            </w:r>
          </w:p>
        </w:tc>
        <w:tc>
          <w:tcPr>
            <w:tcW w:w="1254" w:type="dxa"/>
            <w:tcBorders>
              <w:top w:val="nil"/>
              <w:left w:val="nil"/>
              <w:bottom w:val="single" w:sz="8" w:space="0" w:color="auto"/>
              <w:right w:val="single" w:sz="8" w:space="0" w:color="auto"/>
            </w:tcBorders>
            <w:shd w:val="clear" w:color="000000" w:fill="D9D9D9"/>
            <w:vAlign w:val="center"/>
            <w:hideMark/>
          </w:tcPr>
          <w:p w14:paraId="74BE1C48" w14:textId="77777777" w:rsidR="00EF055A" w:rsidRPr="00A4194F" w:rsidRDefault="00EF055A" w:rsidP="00EF055A">
            <w:pPr>
              <w:spacing w:after="0" w:line="240" w:lineRule="auto"/>
              <w:jc w:val="right"/>
              <w:rPr>
                <w:rFonts w:cs="Arial"/>
                <w:b/>
                <w:bCs/>
                <w:color w:val="000000"/>
                <w:szCs w:val="24"/>
                <w:highlight w:val="yellow"/>
                <w:lang w:eastAsia="en-GB"/>
              </w:rPr>
            </w:pPr>
            <w:r w:rsidRPr="00A4194F">
              <w:rPr>
                <w:rFonts w:cs="Arial"/>
                <w:b/>
                <w:bCs/>
                <w:color w:val="000000"/>
                <w:szCs w:val="24"/>
              </w:rPr>
              <w:t>0.458</w:t>
            </w:r>
          </w:p>
        </w:tc>
        <w:tc>
          <w:tcPr>
            <w:tcW w:w="1254" w:type="dxa"/>
            <w:tcBorders>
              <w:top w:val="nil"/>
              <w:left w:val="nil"/>
              <w:bottom w:val="single" w:sz="8" w:space="0" w:color="auto"/>
              <w:right w:val="single" w:sz="4" w:space="0" w:color="auto"/>
            </w:tcBorders>
            <w:shd w:val="clear" w:color="000000" w:fill="D9D9D9"/>
            <w:vAlign w:val="center"/>
            <w:hideMark/>
          </w:tcPr>
          <w:p w14:paraId="3C4FFD67" w14:textId="77777777" w:rsidR="00EF055A" w:rsidRPr="00A4194F" w:rsidRDefault="00EF055A" w:rsidP="00EF055A">
            <w:pPr>
              <w:spacing w:after="0" w:line="240" w:lineRule="auto"/>
              <w:jc w:val="right"/>
              <w:rPr>
                <w:rFonts w:cs="Arial"/>
                <w:b/>
                <w:bCs/>
                <w:color w:val="000000"/>
                <w:szCs w:val="24"/>
                <w:highlight w:val="yellow"/>
                <w:lang w:eastAsia="en-GB"/>
              </w:rPr>
            </w:pPr>
            <w:r w:rsidRPr="00A4194F">
              <w:rPr>
                <w:rFonts w:cs="Arial"/>
                <w:b/>
                <w:bCs/>
                <w:color w:val="000000"/>
                <w:szCs w:val="24"/>
              </w:rPr>
              <w:t>0.210</w:t>
            </w:r>
          </w:p>
        </w:tc>
        <w:tc>
          <w:tcPr>
            <w:tcW w:w="1108" w:type="dxa"/>
            <w:tcBorders>
              <w:top w:val="single" w:sz="4" w:space="0" w:color="auto"/>
              <w:left w:val="single" w:sz="4" w:space="0" w:color="auto"/>
              <w:bottom w:val="single" w:sz="4" w:space="0" w:color="auto"/>
              <w:right w:val="single" w:sz="4" w:space="0" w:color="auto"/>
            </w:tcBorders>
            <w:shd w:val="clear" w:color="000000" w:fill="D9D9D9"/>
            <w:vAlign w:val="center"/>
          </w:tcPr>
          <w:p w14:paraId="63B92D03" w14:textId="77777777" w:rsidR="00EF055A" w:rsidRPr="00A4194F" w:rsidRDefault="00EF055A" w:rsidP="00EF055A">
            <w:pPr>
              <w:spacing w:after="0" w:line="240" w:lineRule="auto"/>
              <w:jc w:val="right"/>
              <w:rPr>
                <w:rFonts w:cs="Arial"/>
                <w:b/>
                <w:bCs/>
                <w:color w:val="000000"/>
                <w:szCs w:val="24"/>
                <w:highlight w:val="yellow"/>
                <w:lang w:eastAsia="en-GB"/>
              </w:rPr>
            </w:pPr>
            <w:r w:rsidRPr="00A4194F">
              <w:rPr>
                <w:rFonts w:cs="Arial"/>
                <w:b/>
                <w:bCs/>
                <w:color w:val="000000"/>
                <w:szCs w:val="24"/>
              </w:rPr>
              <w:t>-0.008</w:t>
            </w:r>
          </w:p>
        </w:tc>
        <w:tc>
          <w:tcPr>
            <w:tcW w:w="1284" w:type="dxa"/>
            <w:tcBorders>
              <w:top w:val="nil"/>
              <w:left w:val="single" w:sz="4" w:space="0" w:color="auto"/>
              <w:bottom w:val="single" w:sz="8" w:space="0" w:color="auto"/>
              <w:right w:val="single" w:sz="8" w:space="0" w:color="auto"/>
            </w:tcBorders>
            <w:shd w:val="clear" w:color="000000" w:fill="D9D9D9"/>
            <w:vAlign w:val="center"/>
            <w:hideMark/>
          </w:tcPr>
          <w:p w14:paraId="5200A8B3" w14:textId="77777777" w:rsidR="00EF055A" w:rsidRPr="00A4194F" w:rsidRDefault="00EF055A" w:rsidP="00EF055A">
            <w:pPr>
              <w:spacing w:after="0" w:line="240" w:lineRule="auto"/>
              <w:jc w:val="right"/>
              <w:rPr>
                <w:rFonts w:cs="Arial"/>
                <w:b/>
                <w:bCs/>
                <w:color w:val="000000"/>
                <w:szCs w:val="24"/>
                <w:highlight w:val="yellow"/>
                <w:lang w:eastAsia="en-GB"/>
              </w:rPr>
            </w:pPr>
            <w:r w:rsidRPr="00A4194F">
              <w:rPr>
                <w:rFonts w:cs="Arial"/>
                <w:b/>
                <w:bCs/>
                <w:color w:val="000000"/>
                <w:szCs w:val="24"/>
              </w:rPr>
              <w:t>-2.931</w:t>
            </w:r>
          </w:p>
        </w:tc>
      </w:tr>
      <w:tr w:rsidR="009C2438" w14:paraId="246BAB70" w14:textId="77777777" w:rsidTr="00EF055A">
        <w:trPr>
          <w:trHeight w:val="450"/>
        </w:trPr>
        <w:tc>
          <w:tcPr>
            <w:tcW w:w="2792" w:type="dxa"/>
            <w:tcBorders>
              <w:top w:val="nil"/>
              <w:left w:val="single" w:sz="8" w:space="0" w:color="auto"/>
              <w:bottom w:val="single" w:sz="8" w:space="0" w:color="auto"/>
              <w:right w:val="single" w:sz="8" w:space="0" w:color="auto"/>
            </w:tcBorders>
            <w:shd w:val="clear" w:color="auto" w:fill="auto"/>
            <w:vAlign w:val="center"/>
            <w:hideMark/>
          </w:tcPr>
          <w:p w14:paraId="1596D8B3" w14:textId="77777777" w:rsidR="00EF055A" w:rsidRPr="00A4194F" w:rsidRDefault="00EF055A" w:rsidP="00EF055A">
            <w:pPr>
              <w:spacing w:after="0" w:line="240" w:lineRule="auto"/>
              <w:rPr>
                <w:rFonts w:cs="Arial"/>
                <w:b/>
                <w:bCs/>
                <w:color w:val="000000"/>
                <w:szCs w:val="24"/>
                <w:lang w:eastAsia="en-GB"/>
              </w:rPr>
            </w:pPr>
            <w:r w:rsidRPr="00A4194F">
              <w:rPr>
                <w:rFonts w:cs="Arial"/>
                <w:b/>
                <w:bCs/>
                <w:color w:val="000000"/>
                <w:szCs w:val="24"/>
                <w:lang w:eastAsia="en-GB"/>
              </w:rPr>
              <w:t> </w:t>
            </w:r>
          </w:p>
        </w:tc>
        <w:tc>
          <w:tcPr>
            <w:tcW w:w="1314" w:type="dxa"/>
            <w:tcBorders>
              <w:top w:val="nil"/>
              <w:left w:val="nil"/>
              <w:bottom w:val="single" w:sz="8" w:space="0" w:color="auto"/>
              <w:right w:val="single" w:sz="8" w:space="0" w:color="auto"/>
            </w:tcBorders>
            <w:shd w:val="clear" w:color="auto" w:fill="auto"/>
            <w:vAlign w:val="center"/>
            <w:hideMark/>
          </w:tcPr>
          <w:p w14:paraId="570400E6"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b/>
                <w:bCs/>
                <w:color w:val="000000"/>
                <w:szCs w:val="24"/>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4FA36865"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b/>
                <w:bCs/>
                <w:color w:val="000000"/>
                <w:szCs w:val="24"/>
                <w:lang w:eastAsia="en-GB"/>
              </w:rPr>
              <w:t> </w:t>
            </w:r>
          </w:p>
        </w:tc>
        <w:tc>
          <w:tcPr>
            <w:tcW w:w="1254" w:type="dxa"/>
            <w:tcBorders>
              <w:top w:val="nil"/>
              <w:left w:val="nil"/>
              <w:bottom w:val="single" w:sz="8" w:space="0" w:color="auto"/>
              <w:right w:val="single" w:sz="4" w:space="0" w:color="auto"/>
            </w:tcBorders>
            <w:shd w:val="clear" w:color="auto" w:fill="auto"/>
            <w:vAlign w:val="center"/>
            <w:hideMark/>
          </w:tcPr>
          <w:p w14:paraId="4AE8D9A9"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b/>
                <w:bCs/>
                <w:color w:val="000000"/>
                <w:szCs w:val="24"/>
                <w:lang w:eastAsia="en-GB"/>
              </w:rPr>
              <w:t> </w:t>
            </w:r>
          </w:p>
        </w:tc>
        <w:tc>
          <w:tcPr>
            <w:tcW w:w="1108" w:type="dxa"/>
            <w:tcBorders>
              <w:top w:val="single" w:sz="4" w:space="0" w:color="auto"/>
              <w:left w:val="single" w:sz="4" w:space="0" w:color="auto"/>
              <w:bottom w:val="single" w:sz="4" w:space="0" w:color="auto"/>
              <w:right w:val="single" w:sz="4" w:space="0" w:color="auto"/>
            </w:tcBorders>
          </w:tcPr>
          <w:p w14:paraId="61F3029B" w14:textId="77777777" w:rsidR="00EF055A" w:rsidRPr="00A4194F" w:rsidRDefault="00EF055A" w:rsidP="00EF055A">
            <w:pPr>
              <w:spacing w:after="0" w:line="240" w:lineRule="auto"/>
              <w:jc w:val="right"/>
              <w:rPr>
                <w:rFonts w:cs="Arial"/>
                <w:b/>
                <w:bCs/>
                <w:color w:val="000000"/>
                <w:szCs w:val="24"/>
                <w:lang w:eastAsia="en-GB"/>
              </w:rPr>
            </w:pPr>
          </w:p>
        </w:tc>
        <w:tc>
          <w:tcPr>
            <w:tcW w:w="1284" w:type="dxa"/>
            <w:tcBorders>
              <w:top w:val="nil"/>
              <w:left w:val="single" w:sz="4" w:space="0" w:color="auto"/>
              <w:bottom w:val="single" w:sz="8" w:space="0" w:color="auto"/>
              <w:right w:val="single" w:sz="8" w:space="0" w:color="auto"/>
            </w:tcBorders>
            <w:shd w:val="clear" w:color="auto" w:fill="auto"/>
            <w:vAlign w:val="center"/>
            <w:hideMark/>
          </w:tcPr>
          <w:p w14:paraId="42B7E8D2"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b/>
                <w:bCs/>
                <w:color w:val="000000"/>
                <w:szCs w:val="24"/>
                <w:lang w:eastAsia="en-GB"/>
              </w:rPr>
              <w:t> </w:t>
            </w:r>
          </w:p>
        </w:tc>
      </w:tr>
      <w:tr w:rsidR="009C2438" w14:paraId="1FF90A5A" w14:textId="77777777" w:rsidTr="00EF055A">
        <w:trPr>
          <w:trHeight w:val="480"/>
        </w:trPr>
        <w:tc>
          <w:tcPr>
            <w:tcW w:w="2792" w:type="dxa"/>
            <w:tcBorders>
              <w:top w:val="nil"/>
              <w:left w:val="single" w:sz="8" w:space="0" w:color="auto"/>
              <w:bottom w:val="single" w:sz="8" w:space="0" w:color="auto"/>
              <w:right w:val="single" w:sz="8" w:space="0" w:color="auto"/>
            </w:tcBorders>
            <w:shd w:val="clear" w:color="000000" w:fill="BFBFBF"/>
            <w:vAlign w:val="center"/>
            <w:hideMark/>
          </w:tcPr>
          <w:p w14:paraId="519CB7C9" w14:textId="77777777" w:rsidR="00EF055A" w:rsidRPr="00A4194F" w:rsidRDefault="00EF055A" w:rsidP="00EF055A">
            <w:pPr>
              <w:spacing w:after="0" w:line="240" w:lineRule="auto"/>
              <w:rPr>
                <w:rFonts w:cs="Arial"/>
                <w:color w:val="000000"/>
                <w:szCs w:val="24"/>
                <w:lang w:eastAsia="en-GB"/>
              </w:rPr>
            </w:pPr>
            <w:r w:rsidRPr="00A4194F">
              <w:rPr>
                <w:rFonts w:cs="Arial"/>
                <w:color w:val="000000"/>
                <w:szCs w:val="24"/>
                <w:lang w:eastAsia="en-GB"/>
              </w:rPr>
              <w:t>Change to forecast of resources:</w:t>
            </w:r>
          </w:p>
        </w:tc>
        <w:tc>
          <w:tcPr>
            <w:tcW w:w="1314" w:type="dxa"/>
            <w:tcBorders>
              <w:top w:val="nil"/>
              <w:left w:val="nil"/>
              <w:bottom w:val="single" w:sz="8" w:space="0" w:color="auto"/>
              <w:right w:val="single" w:sz="8" w:space="0" w:color="auto"/>
            </w:tcBorders>
            <w:shd w:val="clear" w:color="000000" w:fill="BFBFBF"/>
            <w:vAlign w:val="center"/>
            <w:hideMark/>
          </w:tcPr>
          <w:p w14:paraId="04437A88" w14:textId="77777777" w:rsidR="00EF055A" w:rsidRPr="00A4194F" w:rsidRDefault="00EF055A" w:rsidP="00EF055A">
            <w:pPr>
              <w:spacing w:after="0" w:line="240" w:lineRule="auto"/>
              <w:jc w:val="right"/>
              <w:rPr>
                <w:rFonts w:cs="Arial"/>
                <w:color w:val="000000"/>
                <w:szCs w:val="24"/>
                <w:lang w:eastAsia="en-GB"/>
              </w:rPr>
            </w:pPr>
            <w:r w:rsidRPr="00A4194F">
              <w:rPr>
                <w:rFonts w:cs="Arial"/>
                <w:color w:val="000000"/>
                <w:szCs w:val="24"/>
                <w:lang w:eastAsia="en-GB"/>
              </w:rPr>
              <w:t> </w:t>
            </w:r>
          </w:p>
        </w:tc>
        <w:tc>
          <w:tcPr>
            <w:tcW w:w="1254" w:type="dxa"/>
            <w:tcBorders>
              <w:top w:val="nil"/>
              <w:left w:val="nil"/>
              <w:bottom w:val="single" w:sz="8" w:space="0" w:color="auto"/>
              <w:right w:val="single" w:sz="8" w:space="0" w:color="auto"/>
            </w:tcBorders>
            <w:shd w:val="clear" w:color="000000" w:fill="BFBFBF"/>
            <w:vAlign w:val="center"/>
            <w:hideMark/>
          </w:tcPr>
          <w:p w14:paraId="2BC06516" w14:textId="77777777" w:rsidR="00EF055A" w:rsidRPr="00A4194F" w:rsidRDefault="00EF055A" w:rsidP="00EF055A">
            <w:pPr>
              <w:spacing w:after="0" w:line="240" w:lineRule="auto"/>
              <w:jc w:val="right"/>
              <w:rPr>
                <w:rFonts w:cs="Arial"/>
                <w:color w:val="000000"/>
                <w:szCs w:val="24"/>
                <w:lang w:eastAsia="en-GB"/>
              </w:rPr>
            </w:pPr>
            <w:r w:rsidRPr="00A4194F">
              <w:rPr>
                <w:rFonts w:cs="Arial"/>
                <w:color w:val="000000"/>
                <w:szCs w:val="24"/>
                <w:lang w:eastAsia="en-GB"/>
              </w:rPr>
              <w:t> </w:t>
            </w:r>
          </w:p>
        </w:tc>
        <w:tc>
          <w:tcPr>
            <w:tcW w:w="1254" w:type="dxa"/>
            <w:tcBorders>
              <w:top w:val="nil"/>
              <w:left w:val="nil"/>
              <w:bottom w:val="single" w:sz="8" w:space="0" w:color="auto"/>
              <w:right w:val="single" w:sz="4" w:space="0" w:color="auto"/>
            </w:tcBorders>
            <w:shd w:val="clear" w:color="000000" w:fill="BFBFBF"/>
            <w:vAlign w:val="center"/>
            <w:hideMark/>
          </w:tcPr>
          <w:p w14:paraId="0EF2C0E1" w14:textId="77777777" w:rsidR="00EF055A" w:rsidRPr="00A4194F" w:rsidRDefault="00EF055A" w:rsidP="00EF055A">
            <w:pPr>
              <w:spacing w:after="0" w:line="240" w:lineRule="auto"/>
              <w:jc w:val="right"/>
              <w:rPr>
                <w:rFonts w:cs="Arial"/>
                <w:color w:val="000000"/>
                <w:szCs w:val="24"/>
                <w:lang w:eastAsia="en-GB"/>
              </w:rPr>
            </w:pPr>
            <w:r w:rsidRPr="00A4194F">
              <w:rPr>
                <w:rFonts w:cs="Arial"/>
                <w:color w:val="000000"/>
                <w:szCs w:val="24"/>
                <w:lang w:eastAsia="en-GB"/>
              </w:rPr>
              <w:t> </w:t>
            </w:r>
          </w:p>
        </w:tc>
        <w:tc>
          <w:tcPr>
            <w:tcW w:w="1108" w:type="dxa"/>
            <w:tcBorders>
              <w:top w:val="single" w:sz="4" w:space="0" w:color="auto"/>
              <w:left w:val="single" w:sz="4" w:space="0" w:color="auto"/>
              <w:bottom w:val="single" w:sz="4" w:space="0" w:color="auto"/>
              <w:right w:val="single" w:sz="4" w:space="0" w:color="auto"/>
            </w:tcBorders>
            <w:shd w:val="clear" w:color="000000" w:fill="BFBFBF"/>
          </w:tcPr>
          <w:p w14:paraId="11DE40F2" w14:textId="77777777" w:rsidR="00EF055A" w:rsidRPr="00A4194F" w:rsidRDefault="00EF055A" w:rsidP="00EF055A">
            <w:pPr>
              <w:spacing w:after="0" w:line="240" w:lineRule="auto"/>
              <w:jc w:val="right"/>
              <w:rPr>
                <w:rFonts w:cs="Arial"/>
                <w:color w:val="000000"/>
                <w:szCs w:val="24"/>
                <w:lang w:eastAsia="en-GB"/>
              </w:rPr>
            </w:pPr>
          </w:p>
        </w:tc>
        <w:tc>
          <w:tcPr>
            <w:tcW w:w="1284" w:type="dxa"/>
            <w:tcBorders>
              <w:top w:val="nil"/>
              <w:left w:val="single" w:sz="4" w:space="0" w:color="auto"/>
              <w:bottom w:val="single" w:sz="8" w:space="0" w:color="auto"/>
              <w:right w:val="single" w:sz="8" w:space="0" w:color="auto"/>
            </w:tcBorders>
            <w:shd w:val="clear" w:color="000000" w:fill="BFBFBF"/>
            <w:vAlign w:val="center"/>
            <w:hideMark/>
          </w:tcPr>
          <w:p w14:paraId="166E4927" w14:textId="77777777" w:rsidR="00EF055A" w:rsidRPr="00A4194F" w:rsidRDefault="00EF055A" w:rsidP="00EF055A">
            <w:pPr>
              <w:spacing w:after="0" w:line="240" w:lineRule="auto"/>
              <w:jc w:val="right"/>
              <w:rPr>
                <w:rFonts w:cs="Arial"/>
                <w:color w:val="000000"/>
                <w:szCs w:val="24"/>
                <w:lang w:eastAsia="en-GB"/>
              </w:rPr>
            </w:pPr>
            <w:r w:rsidRPr="00A4194F">
              <w:rPr>
                <w:rFonts w:cs="Arial"/>
                <w:color w:val="000000"/>
                <w:szCs w:val="24"/>
                <w:lang w:eastAsia="en-GB"/>
              </w:rPr>
              <w:t> </w:t>
            </w:r>
          </w:p>
        </w:tc>
      </w:tr>
      <w:tr w:rsidR="009C2438" w14:paraId="73DCB866" w14:textId="77777777" w:rsidTr="00EF055A">
        <w:trPr>
          <w:trHeight w:val="345"/>
        </w:trPr>
        <w:tc>
          <w:tcPr>
            <w:tcW w:w="2792" w:type="dxa"/>
            <w:tcBorders>
              <w:top w:val="nil"/>
              <w:left w:val="single" w:sz="8" w:space="0" w:color="auto"/>
              <w:bottom w:val="single" w:sz="8" w:space="0" w:color="auto"/>
              <w:right w:val="single" w:sz="8" w:space="0" w:color="auto"/>
            </w:tcBorders>
            <w:shd w:val="clear" w:color="auto" w:fill="auto"/>
            <w:vAlign w:val="center"/>
            <w:hideMark/>
          </w:tcPr>
          <w:p w14:paraId="300EE67A" w14:textId="77777777" w:rsidR="00EF055A" w:rsidRPr="00A4194F" w:rsidRDefault="00EF055A" w:rsidP="00EF055A">
            <w:pPr>
              <w:spacing w:after="0" w:line="240" w:lineRule="auto"/>
              <w:rPr>
                <w:rFonts w:cs="Arial"/>
                <w:color w:val="000000"/>
                <w:szCs w:val="24"/>
                <w:lang w:eastAsia="en-GB"/>
              </w:rPr>
            </w:pPr>
            <w:r w:rsidRPr="00A4194F">
              <w:rPr>
                <w:rFonts w:cs="Arial"/>
                <w:color w:val="000000"/>
                <w:szCs w:val="24"/>
                <w:lang w:eastAsia="en-GB"/>
              </w:rPr>
              <w:t>Funding</w:t>
            </w:r>
          </w:p>
        </w:tc>
        <w:tc>
          <w:tcPr>
            <w:tcW w:w="1314" w:type="dxa"/>
            <w:tcBorders>
              <w:top w:val="nil"/>
              <w:left w:val="nil"/>
              <w:bottom w:val="single" w:sz="8" w:space="0" w:color="auto"/>
              <w:right w:val="single" w:sz="8" w:space="0" w:color="auto"/>
            </w:tcBorders>
            <w:shd w:val="clear" w:color="auto" w:fill="auto"/>
            <w:vAlign w:val="center"/>
            <w:hideMark/>
          </w:tcPr>
          <w:p w14:paraId="46ACB09C" w14:textId="77777777" w:rsidR="00EF055A" w:rsidRPr="00A4194F" w:rsidRDefault="00EF055A" w:rsidP="00EF055A">
            <w:pPr>
              <w:spacing w:after="0" w:line="240" w:lineRule="auto"/>
              <w:jc w:val="right"/>
              <w:rPr>
                <w:rFonts w:cs="Arial"/>
                <w:color w:val="000000"/>
                <w:szCs w:val="24"/>
                <w:lang w:eastAsia="en-GB"/>
              </w:rPr>
            </w:pPr>
            <w:r w:rsidRPr="00A4194F">
              <w:rPr>
                <w:rFonts w:cs="Arial"/>
                <w:color w:val="000000"/>
                <w:szCs w:val="24"/>
              </w:rPr>
              <w:t>-0.453</w:t>
            </w:r>
          </w:p>
        </w:tc>
        <w:tc>
          <w:tcPr>
            <w:tcW w:w="1254" w:type="dxa"/>
            <w:tcBorders>
              <w:top w:val="nil"/>
              <w:left w:val="nil"/>
              <w:bottom w:val="single" w:sz="8" w:space="0" w:color="auto"/>
              <w:right w:val="single" w:sz="8" w:space="0" w:color="auto"/>
            </w:tcBorders>
            <w:shd w:val="clear" w:color="auto" w:fill="auto"/>
            <w:vAlign w:val="center"/>
            <w:hideMark/>
          </w:tcPr>
          <w:p w14:paraId="6A0025CA" w14:textId="77777777" w:rsidR="00EF055A" w:rsidRPr="00A4194F" w:rsidRDefault="00EF055A" w:rsidP="00EF055A">
            <w:pPr>
              <w:spacing w:after="0" w:line="240" w:lineRule="auto"/>
              <w:jc w:val="right"/>
              <w:rPr>
                <w:rFonts w:cs="Arial"/>
                <w:color w:val="000000"/>
                <w:szCs w:val="24"/>
                <w:lang w:eastAsia="en-GB"/>
              </w:rPr>
            </w:pPr>
            <w:r w:rsidRPr="00A4194F">
              <w:rPr>
                <w:rFonts w:cs="Arial"/>
                <w:color w:val="000000"/>
                <w:szCs w:val="24"/>
              </w:rPr>
              <w:t>10.463</w:t>
            </w:r>
          </w:p>
        </w:tc>
        <w:tc>
          <w:tcPr>
            <w:tcW w:w="1254" w:type="dxa"/>
            <w:tcBorders>
              <w:top w:val="nil"/>
              <w:left w:val="nil"/>
              <w:bottom w:val="single" w:sz="8" w:space="0" w:color="auto"/>
              <w:right w:val="single" w:sz="4" w:space="0" w:color="auto"/>
            </w:tcBorders>
            <w:shd w:val="clear" w:color="auto" w:fill="auto"/>
            <w:vAlign w:val="center"/>
            <w:hideMark/>
          </w:tcPr>
          <w:p w14:paraId="22B69D69" w14:textId="77777777" w:rsidR="00EF055A" w:rsidRPr="00A4194F" w:rsidRDefault="00EF055A" w:rsidP="00EF055A">
            <w:pPr>
              <w:spacing w:after="0" w:line="240" w:lineRule="auto"/>
              <w:jc w:val="right"/>
              <w:rPr>
                <w:rFonts w:cs="Arial"/>
                <w:color w:val="000000"/>
                <w:szCs w:val="24"/>
                <w:lang w:eastAsia="en-GB"/>
              </w:rPr>
            </w:pPr>
            <w:r w:rsidRPr="00A4194F">
              <w:rPr>
                <w:rFonts w:cs="Arial"/>
                <w:color w:val="000000"/>
                <w:szCs w:val="24"/>
              </w:rPr>
              <w:t>-0.812</w:t>
            </w:r>
          </w:p>
        </w:tc>
        <w:tc>
          <w:tcPr>
            <w:tcW w:w="1108" w:type="dxa"/>
            <w:tcBorders>
              <w:top w:val="single" w:sz="4" w:space="0" w:color="auto"/>
              <w:left w:val="single" w:sz="4" w:space="0" w:color="auto"/>
              <w:bottom w:val="single" w:sz="4" w:space="0" w:color="auto"/>
              <w:right w:val="single" w:sz="4" w:space="0" w:color="auto"/>
            </w:tcBorders>
            <w:vAlign w:val="center"/>
          </w:tcPr>
          <w:p w14:paraId="52C1959E"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color w:val="000000"/>
                <w:szCs w:val="24"/>
              </w:rPr>
              <w:t>-1.393</w:t>
            </w:r>
          </w:p>
        </w:tc>
        <w:tc>
          <w:tcPr>
            <w:tcW w:w="1284" w:type="dxa"/>
            <w:tcBorders>
              <w:top w:val="nil"/>
              <w:left w:val="single" w:sz="4" w:space="0" w:color="auto"/>
              <w:bottom w:val="single" w:sz="8" w:space="0" w:color="auto"/>
              <w:right w:val="single" w:sz="8" w:space="0" w:color="auto"/>
            </w:tcBorders>
            <w:shd w:val="clear" w:color="auto" w:fill="auto"/>
            <w:vAlign w:val="center"/>
            <w:hideMark/>
          </w:tcPr>
          <w:p w14:paraId="6795AB62"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b/>
                <w:bCs/>
                <w:color w:val="000000"/>
                <w:szCs w:val="24"/>
              </w:rPr>
              <w:t>7.805</w:t>
            </w:r>
          </w:p>
        </w:tc>
      </w:tr>
      <w:tr w:rsidR="009C2438" w14:paraId="0796D893" w14:textId="77777777" w:rsidTr="00EF055A">
        <w:trPr>
          <w:trHeight w:val="615"/>
        </w:trPr>
        <w:tc>
          <w:tcPr>
            <w:tcW w:w="2792" w:type="dxa"/>
            <w:tcBorders>
              <w:top w:val="nil"/>
              <w:left w:val="single" w:sz="8" w:space="0" w:color="auto"/>
              <w:bottom w:val="single" w:sz="8" w:space="0" w:color="auto"/>
              <w:right w:val="single" w:sz="8" w:space="0" w:color="auto"/>
            </w:tcBorders>
            <w:shd w:val="clear" w:color="000000" w:fill="D9D9D9"/>
            <w:vAlign w:val="center"/>
            <w:hideMark/>
          </w:tcPr>
          <w:p w14:paraId="759B0D2C" w14:textId="77777777" w:rsidR="00EF055A" w:rsidRPr="007A60AF" w:rsidRDefault="00EF055A" w:rsidP="00EF055A">
            <w:pPr>
              <w:spacing w:after="0" w:line="240" w:lineRule="auto"/>
              <w:rPr>
                <w:rFonts w:cs="Arial"/>
                <w:b/>
                <w:bCs/>
                <w:color w:val="000000"/>
                <w:szCs w:val="24"/>
                <w:highlight w:val="yellow"/>
                <w:lang w:eastAsia="en-GB"/>
              </w:rPr>
            </w:pPr>
            <w:r w:rsidRPr="00A4194F">
              <w:rPr>
                <w:rFonts w:cs="Arial"/>
                <w:b/>
                <w:bCs/>
                <w:color w:val="000000"/>
                <w:szCs w:val="24"/>
                <w:lang w:eastAsia="en-GB"/>
              </w:rPr>
              <w:t>Total Change to Forecast of Resources</w:t>
            </w:r>
          </w:p>
        </w:tc>
        <w:tc>
          <w:tcPr>
            <w:tcW w:w="1314" w:type="dxa"/>
            <w:tcBorders>
              <w:top w:val="single" w:sz="8" w:space="0" w:color="auto"/>
              <w:left w:val="nil"/>
              <w:bottom w:val="single" w:sz="8" w:space="0" w:color="auto"/>
              <w:right w:val="single" w:sz="8" w:space="0" w:color="auto"/>
            </w:tcBorders>
            <w:shd w:val="clear" w:color="000000" w:fill="D9D9D9"/>
            <w:vAlign w:val="center"/>
            <w:hideMark/>
          </w:tcPr>
          <w:p w14:paraId="58555562"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color w:val="000000"/>
                <w:szCs w:val="24"/>
              </w:rPr>
              <w:t>-0.453</w:t>
            </w:r>
          </w:p>
        </w:tc>
        <w:tc>
          <w:tcPr>
            <w:tcW w:w="1254" w:type="dxa"/>
            <w:tcBorders>
              <w:top w:val="single" w:sz="8" w:space="0" w:color="auto"/>
              <w:left w:val="nil"/>
              <w:bottom w:val="single" w:sz="8" w:space="0" w:color="auto"/>
              <w:right w:val="single" w:sz="8" w:space="0" w:color="auto"/>
            </w:tcBorders>
            <w:shd w:val="clear" w:color="000000" w:fill="D9D9D9"/>
            <w:vAlign w:val="center"/>
            <w:hideMark/>
          </w:tcPr>
          <w:p w14:paraId="5CB968F1"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color w:val="000000"/>
                <w:szCs w:val="24"/>
              </w:rPr>
              <w:t>10.463</w:t>
            </w:r>
          </w:p>
        </w:tc>
        <w:tc>
          <w:tcPr>
            <w:tcW w:w="1254" w:type="dxa"/>
            <w:tcBorders>
              <w:top w:val="single" w:sz="8" w:space="0" w:color="auto"/>
              <w:left w:val="nil"/>
              <w:bottom w:val="single" w:sz="8" w:space="0" w:color="auto"/>
              <w:right w:val="single" w:sz="4" w:space="0" w:color="auto"/>
            </w:tcBorders>
            <w:shd w:val="clear" w:color="000000" w:fill="D9D9D9"/>
            <w:vAlign w:val="center"/>
            <w:hideMark/>
          </w:tcPr>
          <w:p w14:paraId="4FFBC54F"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color w:val="000000"/>
                <w:szCs w:val="24"/>
              </w:rPr>
              <w:t>-0.812</w:t>
            </w:r>
          </w:p>
        </w:tc>
        <w:tc>
          <w:tcPr>
            <w:tcW w:w="1108" w:type="dxa"/>
            <w:tcBorders>
              <w:top w:val="single" w:sz="4" w:space="0" w:color="auto"/>
              <w:left w:val="single" w:sz="4" w:space="0" w:color="auto"/>
              <w:bottom w:val="single" w:sz="4" w:space="0" w:color="auto"/>
              <w:right w:val="single" w:sz="4" w:space="0" w:color="auto"/>
            </w:tcBorders>
            <w:shd w:val="clear" w:color="000000" w:fill="D9D9D9"/>
            <w:vAlign w:val="center"/>
          </w:tcPr>
          <w:p w14:paraId="08CD46C9"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color w:val="000000"/>
                <w:szCs w:val="24"/>
              </w:rPr>
              <w:t>-1.393</w:t>
            </w:r>
          </w:p>
        </w:tc>
        <w:tc>
          <w:tcPr>
            <w:tcW w:w="1284" w:type="dxa"/>
            <w:tcBorders>
              <w:top w:val="nil"/>
              <w:left w:val="single" w:sz="4" w:space="0" w:color="auto"/>
              <w:bottom w:val="single" w:sz="8" w:space="0" w:color="auto"/>
              <w:right w:val="single" w:sz="8" w:space="0" w:color="auto"/>
            </w:tcBorders>
            <w:shd w:val="clear" w:color="000000" w:fill="D9D9D9"/>
            <w:vAlign w:val="center"/>
            <w:hideMark/>
          </w:tcPr>
          <w:p w14:paraId="462153C0"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b/>
                <w:bCs/>
                <w:color w:val="000000"/>
                <w:szCs w:val="24"/>
              </w:rPr>
              <w:t>7.805</w:t>
            </w:r>
          </w:p>
        </w:tc>
      </w:tr>
      <w:tr w:rsidR="009C2438" w14:paraId="59CEEE14" w14:textId="77777777" w:rsidTr="00EF055A">
        <w:trPr>
          <w:trHeight w:val="405"/>
        </w:trPr>
        <w:tc>
          <w:tcPr>
            <w:tcW w:w="2792" w:type="dxa"/>
            <w:tcBorders>
              <w:top w:val="nil"/>
              <w:left w:val="single" w:sz="8" w:space="0" w:color="auto"/>
              <w:bottom w:val="single" w:sz="8" w:space="0" w:color="auto"/>
              <w:right w:val="single" w:sz="8" w:space="0" w:color="auto"/>
            </w:tcBorders>
            <w:shd w:val="clear" w:color="auto" w:fill="auto"/>
            <w:vAlign w:val="center"/>
            <w:hideMark/>
          </w:tcPr>
          <w:p w14:paraId="40FF417D" w14:textId="77777777" w:rsidR="00EF055A" w:rsidRPr="00A4194F" w:rsidRDefault="00EF055A" w:rsidP="00EF055A">
            <w:pPr>
              <w:spacing w:after="0" w:line="240" w:lineRule="auto"/>
              <w:rPr>
                <w:rFonts w:cs="Arial"/>
                <w:color w:val="000000"/>
                <w:szCs w:val="24"/>
                <w:lang w:eastAsia="en-GB"/>
              </w:rPr>
            </w:pPr>
            <w:r w:rsidRPr="00A4194F">
              <w:rPr>
                <w:rFonts w:cs="Arial"/>
                <w:color w:val="000000"/>
                <w:szCs w:val="24"/>
                <w:lang w:eastAsia="en-GB"/>
              </w:rPr>
              <w:t> </w:t>
            </w:r>
          </w:p>
        </w:tc>
        <w:tc>
          <w:tcPr>
            <w:tcW w:w="1314" w:type="dxa"/>
            <w:tcBorders>
              <w:top w:val="nil"/>
              <w:left w:val="nil"/>
              <w:bottom w:val="single" w:sz="8" w:space="0" w:color="auto"/>
              <w:right w:val="single" w:sz="8" w:space="0" w:color="auto"/>
            </w:tcBorders>
            <w:shd w:val="clear" w:color="auto" w:fill="auto"/>
            <w:vAlign w:val="center"/>
            <w:hideMark/>
          </w:tcPr>
          <w:p w14:paraId="1B803A32"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b/>
                <w:bCs/>
                <w:color w:val="000000"/>
                <w:szCs w:val="24"/>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21454537"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b/>
                <w:bCs/>
                <w:color w:val="000000"/>
                <w:szCs w:val="24"/>
                <w:lang w:eastAsia="en-GB"/>
              </w:rPr>
              <w:t> </w:t>
            </w:r>
          </w:p>
        </w:tc>
        <w:tc>
          <w:tcPr>
            <w:tcW w:w="1254" w:type="dxa"/>
            <w:tcBorders>
              <w:top w:val="nil"/>
              <w:left w:val="nil"/>
              <w:bottom w:val="single" w:sz="8" w:space="0" w:color="auto"/>
              <w:right w:val="single" w:sz="4" w:space="0" w:color="auto"/>
            </w:tcBorders>
            <w:shd w:val="clear" w:color="auto" w:fill="auto"/>
            <w:vAlign w:val="center"/>
            <w:hideMark/>
          </w:tcPr>
          <w:p w14:paraId="797D1988"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b/>
                <w:bCs/>
                <w:color w:val="000000"/>
                <w:szCs w:val="24"/>
                <w:lang w:eastAsia="en-GB"/>
              </w:rPr>
              <w:t> </w:t>
            </w:r>
          </w:p>
        </w:tc>
        <w:tc>
          <w:tcPr>
            <w:tcW w:w="1108" w:type="dxa"/>
            <w:tcBorders>
              <w:top w:val="single" w:sz="4" w:space="0" w:color="auto"/>
              <w:left w:val="single" w:sz="4" w:space="0" w:color="auto"/>
              <w:bottom w:val="single" w:sz="4" w:space="0" w:color="auto"/>
              <w:right w:val="single" w:sz="4" w:space="0" w:color="auto"/>
            </w:tcBorders>
          </w:tcPr>
          <w:p w14:paraId="4F496C58" w14:textId="77777777" w:rsidR="00EF055A" w:rsidRPr="00A4194F" w:rsidRDefault="00EF055A" w:rsidP="00EF055A">
            <w:pPr>
              <w:spacing w:after="0" w:line="240" w:lineRule="auto"/>
              <w:jc w:val="right"/>
              <w:rPr>
                <w:rFonts w:cs="Arial"/>
                <w:b/>
                <w:bCs/>
                <w:color w:val="000000"/>
                <w:szCs w:val="24"/>
                <w:lang w:eastAsia="en-GB"/>
              </w:rPr>
            </w:pPr>
          </w:p>
        </w:tc>
        <w:tc>
          <w:tcPr>
            <w:tcW w:w="1284" w:type="dxa"/>
            <w:tcBorders>
              <w:top w:val="nil"/>
              <w:left w:val="single" w:sz="4" w:space="0" w:color="auto"/>
              <w:bottom w:val="single" w:sz="8" w:space="0" w:color="auto"/>
              <w:right w:val="single" w:sz="8" w:space="0" w:color="auto"/>
            </w:tcBorders>
            <w:shd w:val="clear" w:color="auto" w:fill="auto"/>
            <w:vAlign w:val="center"/>
            <w:hideMark/>
          </w:tcPr>
          <w:p w14:paraId="4ECE4236" w14:textId="77777777" w:rsidR="00EF055A" w:rsidRPr="00A4194F" w:rsidRDefault="00EF055A" w:rsidP="00EF055A">
            <w:pPr>
              <w:spacing w:after="0" w:line="240" w:lineRule="auto"/>
              <w:jc w:val="right"/>
              <w:rPr>
                <w:rFonts w:cs="Arial"/>
                <w:b/>
                <w:bCs/>
                <w:color w:val="000000"/>
                <w:szCs w:val="24"/>
                <w:lang w:eastAsia="en-GB"/>
              </w:rPr>
            </w:pPr>
            <w:r w:rsidRPr="00A4194F">
              <w:rPr>
                <w:rFonts w:cs="Arial"/>
                <w:b/>
                <w:bCs/>
                <w:color w:val="000000"/>
                <w:szCs w:val="24"/>
                <w:lang w:eastAsia="en-GB"/>
              </w:rPr>
              <w:t> </w:t>
            </w:r>
          </w:p>
        </w:tc>
      </w:tr>
      <w:tr w:rsidR="009C2438" w14:paraId="5B37FC01" w14:textId="77777777" w:rsidTr="00EF055A">
        <w:trPr>
          <w:trHeight w:val="375"/>
        </w:trPr>
        <w:tc>
          <w:tcPr>
            <w:tcW w:w="2792" w:type="dxa"/>
            <w:tcBorders>
              <w:top w:val="nil"/>
              <w:left w:val="single" w:sz="8" w:space="0" w:color="auto"/>
              <w:bottom w:val="single" w:sz="4" w:space="0" w:color="auto"/>
              <w:right w:val="single" w:sz="8" w:space="0" w:color="auto"/>
            </w:tcBorders>
            <w:shd w:val="clear" w:color="000000" w:fill="BFBFBF"/>
            <w:vAlign w:val="center"/>
            <w:hideMark/>
          </w:tcPr>
          <w:p w14:paraId="729054A6" w14:textId="77777777" w:rsidR="00EF055A" w:rsidRPr="00A4194F" w:rsidRDefault="00EF055A" w:rsidP="00EF055A">
            <w:pPr>
              <w:spacing w:after="0" w:line="240" w:lineRule="auto"/>
              <w:rPr>
                <w:rFonts w:cs="Arial"/>
                <w:b/>
                <w:bCs/>
                <w:color w:val="000000"/>
                <w:szCs w:val="24"/>
                <w:lang w:eastAsia="en-GB"/>
              </w:rPr>
            </w:pPr>
            <w:r w:rsidRPr="00A4194F">
              <w:rPr>
                <w:rFonts w:cs="Arial"/>
                <w:b/>
                <w:bCs/>
                <w:color w:val="000000"/>
                <w:szCs w:val="24"/>
                <w:lang w:eastAsia="en-GB"/>
              </w:rPr>
              <w:t xml:space="preserve">Revised Funding Gap reported to Cabinet </w:t>
            </w:r>
            <w:r>
              <w:rPr>
                <w:rFonts w:cs="Arial"/>
                <w:b/>
                <w:bCs/>
                <w:color w:val="000000"/>
                <w:szCs w:val="24"/>
                <w:lang w:eastAsia="en-GB"/>
              </w:rPr>
              <w:t>6</w:t>
            </w:r>
            <w:r w:rsidRPr="00A4194F">
              <w:rPr>
                <w:rFonts w:cs="Arial"/>
                <w:b/>
                <w:bCs/>
                <w:color w:val="000000"/>
                <w:szCs w:val="24"/>
                <w:vertAlign w:val="superscript"/>
                <w:lang w:eastAsia="en-GB"/>
              </w:rPr>
              <w:t>th</w:t>
            </w:r>
            <w:r w:rsidRPr="00A4194F">
              <w:rPr>
                <w:rFonts w:cs="Arial"/>
                <w:b/>
                <w:bCs/>
                <w:color w:val="000000"/>
                <w:szCs w:val="24"/>
                <w:lang w:eastAsia="en-GB"/>
              </w:rPr>
              <w:t xml:space="preserve"> February 20</w:t>
            </w:r>
            <w:r>
              <w:rPr>
                <w:rFonts w:cs="Arial"/>
                <w:b/>
                <w:bCs/>
                <w:color w:val="000000"/>
                <w:szCs w:val="24"/>
                <w:lang w:eastAsia="en-GB"/>
              </w:rPr>
              <w:t>20</w:t>
            </w:r>
          </w:p>
          <w:p w14:paraId="260C46EA" w14:textId="77777777" w:rsidR="00EF055A" w:rsidRPr="00A4194F" w:rsidRDefault="00EF055A" w:rsidP="00EF055A">
            <w:pPr>
              <w:spacing w:after="0" w:line="240" w:lineRule="auto"/>
              <w:rPr>
                <w:rFonts w:cs="Arial"/>
                <w:b/>
                <w:bCs/>
                <w:color w:val="000000"/>
                <w:szCs w:val="24"/>
                <w:lang w:eastAsia="en-GB"/>
              </w:rPr>
            </w:pPr>
            <w:r w:rsidRPr="00A4194F">
              <w:rPr>
                <w:rFonts w:cs="Arial"/>
                <w:b/>
                <w:bCs/>
                <w:color w:val="000000"/>
                <w:szCs w:val="24"/>
                <w:lang w:eastAsia="en-GB"/>
              </w:rPr>
              <w:t>(Quarter 3)</w:t>
            </w:r>
          </w:p>
        </w:tc>
        <w:tc>
          <w:tcPr>
            <w:tcW w:w="1314" w:type="dxa"/>
            <w:tcBorders>
              <w:top w:val="nil"/>
              <w:left w:val="nil"/>
              <w:bottom w:val="single" w:sz="4" w:space="0" w:color="auto"/>
              <w:right w:val="single" w:sz="8" w:space="0" w:color="auto"/>
            </w:tcBorders>
            <w:shd w:val="clear" w:color="000000" w:fill="D9D9D9"/>
            <w:vAlign w:val="center"/>
            <w:hideMark/>
          </w:tcPr>
          <w:p w14:paraId="400933FC" w14:textId="77777777" w:rsidR="00EF055A" w:rsidRPr="00A4194F" w:rsidRDefault="00EF055A" w:rsidP="00EF055A">
            <w:pPr>
              <w:spacing w:after="0" w:line="240" w:lineRule="auto"/>
              <w:jc w:val="right"/>
              <w:rPr>
                <w:rFonts w:cs="Arial"/>
                <w:b/>
                <w:bCs/>
                <w:color w:val="000000"/>
                <w:szCs w:val="24"/>
                <w:highlight w:val="yellow"/>
                <w:lang w:eastAsia="en-GB"/>
              </w:rPr>
            </w:pPr>
            <w:r w:rsidRPr="00A4194F">
              <w:rPr>
                <w:rFonts w:cs="Arial"/>
                <w:b/>
                <w:bCs/>
                <w:color w:val="000000"/>
                <w:szCs w:val="24"/>
              </w:rPr>
              <w:t>-4.045</w:t>
            </w:r>
          </w:p>
        </w:tc>
        <w:tc>
          <w:tcPr>
            <w:tcW w:w="1254" w:type="dxa"/>
            <w:tcBorders>
              <w:top w:val="nil"/>
              <w:left w:val="nil"/>
              <w:bottom w:val="single" w:sz="4" w:space="0" w:color="auto"/>
              <w:right w:val="single" w:sz="8" w:space="0" w:color="auto"/>
            </w:tcBorders>
            <w:shd w:val="clear" w:color="000000" w:fill="D9D9D9"/>
            <w:vAlign w:val="center"/>
            <w:hideMark/>
          </w:tcPr>
          <w:p w14:paraId="3C1C0E22" w14:textId="77777777" w:rsidR="00EF055A" w:rsidRPr="00A4194F" w:rsidRDefault="00EF055A" w:rsidP="00EF055A">
            <w:pPr>
              <w:spacing w:after="0" w:line="240" w:lineRule="auto"/>
              <w:jc w:val="right"/>
              <w:rPr>
                <w:rFonts w:cs="Arial"/>
                <w:b/>
                <w:bCs/>
                <w:color w:val="000000"/>
                <w:szCs w:val="24"/>
                <w:highlight w:val="yellow"/>
                <w:lang w:eastAsia="en-GB"/>
              </w:rPr>
            </w:pPr>
            <w:r w:rsidRPr="00A4194F">
              <w:rPr>
                <w:rFonts w:cs="Arial"/>
                <w:b/>
                <w:bCs/>
                <w:color w:val="000000"/>
                <w:szCs w:val="24"/>
              </w:rPr>
              <w:t>5.733</w:t>
            </w:r>
          </w:p>
        </w:tc>
        <w:tc>
          <w:tcPr>
            <w:tcW w:w="1254" w:type="dxa"/>
            <w:tcBorders>
              <w:top w:val="nil"/>
              <w:left w:val="nil"/>
              <w:bottom w:val="single" w:sz="4" w:space="0" w:color="auto"/>
              <w:right w:val="single" w:sz="4" w:space="0" w:color="auto"/>
            </w:tcBorders>
            <w:shd w:val="clear" w:color="000000" w:fill="D9D9D9"/>
            <w:vAlign w:val="center"/>
            <w:hideMark/>
          </w:tcPr>
          <w:p w14:paraId="1B57020D" w14:textId="77777777" w:rsidR="00EF055A" w:rsidRPr="00A4194F" w:rsidRDefault="00EF055A" w:rsidP="00EF055A">
            <w:pPr>
              <w:spacing w:after="0" w:line="240" w:lineRule="auto"/>
              <w:jc w:val="right"/>
              <w:rPr>
                <w:rFonts w:cs="Arial"/>
                <w:b/>
                <w:bCs/>
                <w:color w:val="000000"/>
                <w:szCs w:val="24"/>
                <w:highlight w:val="yellow"/>
                <w:lang w:eastAsia="en-GB"/>
              </w:rPr>
            </w:pPr>
            <w:r w:rsidRPr="00A4194F">
              <w:rPr>
                <w:rFonts w:cs="Arial"/>
                <w:b/>
                <w:bCs/>
                <w:color w:val="000000"/>
                <w:szCs w:val="24"/>
              </w:rPr>
              <w:t>13.548</w:t>
            </w:r>
          </w:p>
        </w:tc>
        <w:tc>
          <w:tcPr>
            <w:tcW w:w="1108" w:type="dxa"/>
            <w:tcBorders>
              <w:top w:val="single" w:sz="4" w:space="0" w:color="auto"/>
              <w:left w:val="single" w:sz="4" w:space="0" w:color="auto"/>
              <w:bottom w:val="single" w:sz="4" w:space="0" w:color="auto"/>
              <w:right w:val="single" w:sz="4" w:space="0" w:color="auto"/>
            </w:tcBorders>
            <w:shd w:val="clear" w:color="000000" w:fill="D9D9D9"/>
            <w:vAlign w:val="center"/>
          </w:tcPr>
          <w:p w14:paraId="73F65C13" w14:textId="77777777" w:rsidR="00EF055A" w:rsidRPr="00A4194F" w:rsidRDefault="00EF055A" w:rsidP="00EF055A">
            <w:pPr>
              <w:spacing w:after="0" w:line="240" w:lineRule="auto"/>
              <w:jc w:val="right"/>
              <w:rPr>
                <w:rFonts w:cs="Arial"/>
                <w:b/>
                <w:bCs/>
                <w:color w:val="000000"/>
                <w:szCs w:val="24"/>
                <w:highlight w:val="yellow"/>
                <w:lang w:eastAsia="en-GB"/>
              </w:rPr>
            </w:pPr>
            <w:r w:rsidRPr="00A4194F">
              <w:rPr>
                <w:rFonts w:cs="Arial"/>
                <w:b/>
                <w:bCs/>
                <w:color w:val="000000"/>
                <w:szCs w:val="24"/>
              </w:rPr>
              <w:t>18.076</w:t>
            </w:r>
          </w:p>
        </w:tc>
        <w:tc>
          <w:tcPr>
            <w:tcW w:w="1284" w:type="dxa"/>
            <w:tcBorders>
              <w:top w:val="nil"/>
              <w:left w:val="single" w:sz="4" w:space="0" w:color="auto"/>
              <w:bottom w:val="single" w:sz="4" w:space="0" w:color="auto"/>
              <w:right w:val="single" w:sz="8" w:space="0" w:color="auto"/>
            </w:tcBorders>
            <w:shd w:val="clear" w:color="000000" w:fill="D9D9D9"/>
            <w:vAlign w:val="center"/>
            <w:hideMark/>
          </w:tcPr>
          <w:p w14:paraId="4D373D50" w14:textId="77777777" w:rsidR="00EF055A" w:rsidRPr="00A4194F" w:rsidRDefault="00EF055A" w:rsidP="00EF055A">
            <w:pPr>
              <w:spacing w:after="0" w:line="240" w:lineRule="auto"/>
              <w:jc w:val="right"/>
              <w:rPr>
                <w:rFonts w:cs="Arial"/>
                <w:b/>
                <w:bCs/>
                <w:color w:val="000000"/>
                <w:szCs w:val="24"/>
                <w:highlight w:val="yellow"/>
                <w:lang w:eastAsia="en-GB"/>
              </w:rPr>
            </w:pPr>
            <w:r w:rsidRPr="00A4194F">
              <w:rPr>
                <w:rFonts w:cs="Arial"/>
                <w:b/>
                <w:bCs/>
                <w:color w:val="000000"/>
                <w:szCs w:val="24"/>
              </w:rPr>
              <w:t>33.312</w:t>
            </w:r>
          </w:p>
        </w:tc>
      </w:tr>
      <w:tr w:rsidR="009C2438" w14:paraId="3F17BE3F" w14:textId="77777777" w:rsidTr="00EF055A">
        <w:trPr>
          <w:trHeight w:val="375"/>
        </w:trPr>
        <w:tc>
          <w:tcPr>
            <w:tcW w:w="2792" w:type="dxa"/>
            <w:tcBorders>
              <w:top w:val="single" w:sz="4" w:space="0" w:color="auto"/>
              <w:left w:val="single" w:sz="8" w:space="0" w:color="auto"/>
              <w:bottom w:val="single" w:sz="8" w:space="0" w:color="auto"/>
              <w:right w:val="single" w:sz="8" w:space="0" w:color="auto"/>
            </w:tcBorders>
            <w:shd w:val="clear" w:color="auto" w:fill="auto"/>
            <w:vAlign w:val="center"/>
          </w:tcPr>
          <w:p w14:paraId="0DCB9951" w14:textId="77777777" w:rsidR="00EF055A" w:rsidRPr="007A60AF" w:rsidRDefault="00EF055A" w:rsidP="00EF055A">
            <w:pPr>
              <w:spacing w:after="0" w:line="240" w:lineRule="auto"/>
              <w:rPr>
                <w:rFonts w:cs="Arial"/>
                <w:b/>
                <w:bCs/>
                <w:color w:val="000000"/>
                <w:szCs w:val="24"/>
                <w:highlight w:val="yellow"/>
                <w:lang w:eastAsia="en-GB"/>
              </w:rPr>
            </w:pPr>
          </w:p>
        </w:tc>
        <w:tc>
          <w:tcPr>
            <w:tcW w:w="1314" w:type="dxa"/>
            <w:tcBorders>
              <w:top w:val="single" w:sz="4" w:space="0" w:color="auto"/>
              <w:left w:val="nil"/>
              <w:bottom w:val="single" w:sz="8" w:space="0" w:color="auto"/>
              <w:right w:val="single" w:sz="8" w:space="0" w:color="auto"/>
            </w:tcBorders>
            <w:shd w:val="clear" w:color="auto" w:fill="auto"/>
            <w:vAlign w:val="center"/>
          </w:tcPr>
          <w:p w14:paraId="56C581EE" w14:textId="77777777" w:rsidR="00EF055A" w:rsidRPr="007A60AF" w:rsidRDefault="00EF055A" w:rsidP="00EF055A">
            <w:pPr>
              <w:spacing w:after="0" w:line="240" w:lineRule="auto"/>
              <w:jc w:val="right"/>
              <w:rPr>
                <w:rFonts w:cs="Arial"/>
                <w:b/>
                <w:bCs/>
                <w:color w:val="000000"/>
                <w:szCs w:val="24"/>
                <w:highlight w:val="yellow"/>
                <w:lang w:eastAsia="en-GB"/>
              </w:rPr>
            </w:pPr>
          </w:p>
        </w:tc>
        <w:tc>
          <w:tcPr>
            <w:tcW w:w="1254" w:type="dxa"/>
            <w:tcBorders>
              <w:top w:val="single" w:sz="4" w:space="0" w:color="auto"/>
              <w:left w:val="nil"/>
              <w:bottom w:val="single" w:sz="8" w:space="0" w:color="auto"/>
              <w:right w:val="single" w:sz="8" w:space="0" w:color="auto"/>
            </w:tcBorders>
            <w:shd w:val="clear" w:color="auto" w:fill="auto"/>
            <w:vAlign w:val="center"/>
          </w:tcPr>
          <w:p w14:paraId="72166891" w14:textId="77777777" w:rsidR="00EF055A" w:rsidRPr="007A60AF" w:rsidRDefault="00EF055A" w:rsidP="00EF055A">
            <w:pPr>
              <w:spacing w:after="0" w:line="240" w:lineRule="auto"/>
              <w:jc w:val="right"/>
              <w:rPr>
                <w:rFonts w:cs="Arial"/>
                <w:b/>
                <w:bCs/>
                <w:color w:val="000000"/>
                <w:szCs w:val="24"/>
                <w:highlight w:val="yellow"/>
                <w:lang w:eastAsia="en-GB"/>
              </w:rPr>
            </w:pPr>
          </w:p>
        </w:tc>
        <w:tc>
          <w:tcPr>
            <w:tcW w:w="1254" w:type="dxa"/>
            <w:tcBorders>
              <w:top w:val="single" w:sz="4" w:space="0" w:color="auto"/>
              <w:left w:val="nil"/>
              <w:bottom w:val="single" w:sz="8" w:space="0" w:color="auto"/>
              <w:right w:val="single" w:sz="4" w:space="0" w:color="auto"/>
            </w:tcBorders>
            <w:shd w:val="clear" w:color="auto" w:fill="auto"/>
            <w:vAlign w:val="center"/>
          </w:tcPr>
          <w:p w14:paraId="60B66C19" w14:textId="77777777" w:rsidR="00EF055A" w:rsidRPr="007A60AF" w:rsidRDefault="00EF055A" w:rsidP="00EF055A">
            <w:pPr>
              <w:spacing w:after="0" w:line="240" w:lineRule="auto"/>
              <w:jc w:val="right"/>
              <w:rPr>
                <w:rFonts w:cs="Arial"/>
                <w:b/>
                <w:bCs/>
                <w:color w:val="000000"/>
                <w:szCs w:val="24"/>
                <w:highlight w:val="yellow"/>
                <w:lang w:eastAsia="en-GB"/>
              </w:rPr>
            </w:pPr>
          </w:p>
        </w:tc>
        <w:tc>
          <w:tcPr>
            <w:tcW w:w="1108" w:type="dxa"/>
            <w:tcBorders>
              <w:top w:val="single" w:sz="4" w:space="0" w:color="auto"/>
              <w:left w:val="single" w:sz="4" w:space="0" w:color="auto"/>
              <w:bottom w:val="single" w:sz="4" w:space="0" w:color="auto"/>
              <w:right w:val="single" w:sz="4" w:space="0" w:color="auto"/>
            </w:tcBorders>
          </w:tcPr>
          <w:p w14:paraId="515DEACD" w14:textId="77777777" w:rsidR="00EF055A" w:rsidRPr="007A60AF" w:rsidRDefault="00EF055A" w:rsidP="00EF055A">
            <w:pPr>
              <w:spacing w:after="0" w:line="240" w:lineRule="auto"/>
              <w:jc w:val="right"/>
              <w:rPr>
                <w:rFonts w:cs="Arial"/>
                <w:b/>
                <w:bCs/>
                <w:color w:val="000000"/>
                <w:szCs w:val="24"/>
                <w:highlight w:val="yellow"/>
                <w:lang w:eastAsia="en-GB"/>
              </w:rPr>
            </w:pPr>
          </w:p>
        </w:tc>
        <w:tc>
          <w:tcPr>
            <w:tcW w:w="1284" w:type="dxa"/>
            <w:tcBorders>
              <w:top w:val="single" w:sz="4" w:space="0" w:color="auto"/>
              <w:left w:val="single" w:sz="4" w:space="0" w:color="auto"/>
              <w:bottom w:val="single" w:sz="8" w:space="0" w:color="auto"/>
              <w:right w:val="single" w:sz="8" w:space="0" w:color="auto"/>
            </w:tcBorders>
            <w:shd w:val="clear" w:color="auto" w:fill="auto"/>
            <w:vAlign w:val="center"/>
          </w:tcPr>
          <w:p w14:paraId="1B058DA5" w14:textId="77777777" w:rsidR="00EF055A" w:rsidRPr="007A60AF" w:rsidRDefault="00EF055A" w:rsidP="00EF055A">
            <w:pPr>
              <w:spacing w:after="0" w:line="240" w:lineRule="auto"/>
              <w:jc w:val="right"/>
              <w:rPr>
                <w:rFonts w:cs="Arial"/>
                <w:b/>
                <w:bCs/>
                <w:color w:val="000000"/>
                <w:szCs w:val="24"/>
                <w:highlight w:val="yellow"/>
                <w:lang w:eastAsia="en-GB"/>
              </w:rPr>
            </w:pPr>
          </w:p>
        </w:tc>
      </w:tr>
      <w:tr w:rsidR="009C2438" w14:paraId="6934A6BA" w14:textId="77777777" w:rsidTr="00EF055A">
        <w:trPr>
          <w:trHeight w:val="375"/>
        </w:trPr>
        <w:tc>
          <w:tcPr>
            <w:tcW w:w="2792" w:type="dxa"/>
            <w:tcBorders>
              <w:top w:val="nil"/>
              <w:left w:val="single" w:sz="8" w:space="0" w:color="auto"/>
              <w:bottom w:val="single" w:sz="8" w:space="0" w:color="auto"/>
              <w:right w:val="single" w:sz="8" w:space="0" w:color="auto"/>
            </w:tcBorders>
            <w:shd w:val="clear" w:color="auto" w:fill="auto"/>
            <w:vAlign w:val="center"/>
          </w:tcPr>
          <w:p w14:paraId="0CEA3F6C" w14:textId="77777777" w:rsidR="00EF055A" w:rsidRPr="001A7481" w:rsidRDefault="00EF055A" w:rsidP="00EF055A">
            <w:pPr>
              <w:spacing w:after="0" w:line="240" w:lineRule="auto"/>
              <w:rPr>
                <w:rFonts w:cs="Arial"/>
                <w:bCs/>
                <w:color w:val="000000"/>
                <w:szCs w:val="24"/>
                <w:lang w:eastAsia="en-GB"/>
              </w:rPr>
            </w:pPr>
            <w:r w:rsidRPr="001A7481">
              <w:rPr>
                <w:rFonts w:cs="Arial"/>
                <w:bCs/>
                <w:color w:val="000000"/>
                <w:szCs w:val="24"/>
                <w:lang w:eastAsia="en-GB"/>
              </w:rPr>
              <w:t>Funding Update</w:t>
            </w:r>
          </w:p>
        </w:tc>
        <w:tc>
          <w:tcPr>
            <w:tcW w:w="1314" w:type="dxa"/>
            <w:tcBorders>
              <w:top w:val="nil"/>
              <w:left w:val="nil"/>
              <w:bottom w:val="single" w:sz="8" w:space="0" w:color="auto"/>
              <w:right w:val="single" w:sz="8" w:space="0" w:color="auto"/>
            </w:tcBorders>
            <w:shd w:val="clear" w:color="auto" w:fill="auto"/>
            <w:vAlign w:val="center"/>
          </w:tcPr>
          <w:p w14:paraId="118FBF1F" w14:textId="77777777" w:rsidR="00EF055A" w:rsidRPr="00090873" w:rsidRDefault="00EF055A" w:rsidP="00EF055A">
            <w:pPr>
              <w:spacing w:after="0" w:line="240" w:lineRule="auto"/>
              <w:jc w:val="right"/>
              <w:rPr>
                <w:rFonts w:cs="Arial"/>
                <w:bCs/>
                <w:color w:val="000000"/>
                <w:szCs w:val="24"/>
                <w:highlight w:val="yellow"/>
                <w:lang w:eastAsia="en-GB"/>
              </w:rPr>
            </w:pPr>
            <w:r w:rsidRPr="00090873">
              <w:rPr>
                <w:rFonts w:cs="Arial"/>
                <w:bCs/>
                <w:color w:val="000000"/>
                <w:szCs w:val="24"/>
              </w:rPr>
              <w:t>-2.206</w:t>
            </w:r>
          </w:p>
        </w:tc>
        <w:tc>
          <w:tcPr>
            <w:tcW w:w="1254" w:type="dxa"/>
            <w:tcBorders>
              <w:top w:val="nil"/>
              <w:left w:val="nil"/>
              <w:bottom w:val="single" w:sz="8" w:space="0" w:color="auto"/>
              <w:right w:val="single" w:sz="8" w:space="0" w:color="auto"/>
            </w:tcBorders>
            <w:shd w:val="clear" w:color="auto" w:fill="auto"/>
            <w:vAlign w:val="center"/>
          </w:tcPr>
          <w:p w14:paraId="52A3B42B" w14:textId="77777777" w:rsidR="00EF055A" w:rsidRPr="00090873" w:rsidRDefault="00EF055A" w:rsidP="00EF055A">
            <w:pPr>
              <w:spacing w:after="0" w:line="240" w:lineRule="auto"/>
              <w:jc w:val="right"/>
              <w:rPr>
                <w:rFonts w:cs="Arial"/>
                <w:bCs/>
                <w:color w:val="000000"/>
                <w:szCs w:val="24"/>
                <w:highlight w:val="yellow"/>
                <w:lang w:eastAsia="en-GB"/>
              </w:rPr>
            </w:pPr>
            <w:r w:rsidRPr="00090873">
              <w:rPr>
                <w:rFonts w:cs="Arial"/>
                <w:bCs/>
                <w:color w:val="000000"/>
                <w:szCs w:val="24"/>
              </w:rPr>
              <w:t>2.193</w:t>
            </w:r>
          </w:p>
        </w:tc>
        <w:tc>
          <w:tcPr>
            <w:tcW w:w="1254" w:type="dxa"/>
            <w:tcBorders>
              <w:top w:val="nil"/>
              <w:left w:val="nil"/>
              <w:bottom w:val="single" w:sz="8" w:space="0" w:color="auto"/>
              <w:right w:val="single" w:sz="4" w:space="0" w:color="auto"/>
            </w:tcBorders>
            <w:shd w:val="clear" w:color="auto" w:fill="auto"/>
            <w:vAlign w:val="center"/>
          </w:tcPr>
          <w:p w14:paraId="6D43C064" w14:textId="77777777" w:rsidR="00EF055A" w:rsidRPr="00090873" w:rsidRDefault="00EF055A" w:rsidP="00EF055A">
            <w:pPr>
              <w:spacing w:after="0" w:line="240" w:lineRule="auto"/>
              <w:jc w:val="right"/>
              <w:rPr>
                <w:rFonts w:cs="Arial"/>
                <w:bCs/>
                <w:color w:val="000000"/>
                <w:szCs w:val="24"/>
                <w:highlight w:val="yellow"/>
                <w:lang w:eastAsia="en-GB"/>
              </w:rPr>
            </w:pPr>
            <w:r w:rsidRPr="00090873">
              <w:rPr>
                <w:rFonts w:cs="Arial"/>
                <w:bCs/>
                <w:color w:val="000000"/>
                <w:szCs w:val="24"/>
              </w:rPr>
              <w:t>0.000</w:t>
            </w:r>
          </w:p>
        </w:tc>
        <w:tc>
          <w:tcPr>
            <w:tcW w:w="1108" w:type="dxa"/>
            <w:tcBorders>
              <w:top w:val="single" w:sz="4" w:space="0" w:color="auto"/>
              <w:left w:val="single" w:sz="4" w:space="0" w:color="auto"/>
              <w:bottom w:val="single" w:sz="4" w:space="0" w:color="auto"/>
              <w:right w:val="single" w:sz="4" w:space="0" w:color="auto"/>
            </w:tcBorders>
            <w:vAlign w:val="center"/>
          </w:tcPr>
          <w:p w14:paraId="5B38B64F" w14:textId="77777777" w:rsidR="00EF055A" w:rsidRPr="00090873" w:rsidRDefault="00EF055A" w:rsidP="00EF055A">
            <w:pPr>
              <w:spacing w:after="0" w:line="240" w:lineRule="auto"/>
              <w:jc w:val="right"/>
              <w:rPr>
                <w:rFonts w:cs="Arial"/>
                <w:bCs/>
                <w:color w:val="000000"/>
                <w:szCs w:val="24"/>
                <w:highlight w:val="yellow"/>
                <w:lang w:eastAsia="en-GB"/>
              </w:rPr>
            </w:pPr>
            <w:r w:rsidRPr="00090873">
              <w:rPr>
                <w:rFonts w:cs="Arial"/>
                <w:bCs/>
                <w:color w:val="000000"/>
                <w:szCs w:val="24"/>
              </w:rPr>
              <w:t>0.000</w:t>
            </w:r>
          </w:p>
        </w:tc>
        <w:tc>
          <w:tcPr>
            <w:tcW w:w="1284" w:type="dxa"/>
            <w:tcBorders>
              <w:top w:val="nil"/>
              <w:left w:val="single" w:sz="4" w:space="0" w:color="auto"/>
              <w:bottom w:val="single" w:sz="8" w:space="0" w:color="auto"/>
              <w:right w:val="single" w:sz="8" w:space="0" w:color="auto"/>
            </w:tcBorders>
            <w:shd w:val="clear" w:color="auto" w:fill="auto"/>
            <w:vAlign w:val="center"/>
          </w:tcPr>
          <w:p w14:paraId="29B6E9D0" w14:textId="77777777" w:rsidR="00EF055A" w:rsidRPr="001A7481" w:rsidRDefault="00EF055A" w:rsidP="00EF055A">
            <w:pPr>
              <w:spacing w:after="0" w:line="240" w:lineRule="auto"/>
              <w:jc w:val="right"/>
              <w:rPr>
                <w:rFonts w:cs="Arial"/>
                <w:b/>
                <w:bCs/>
                <w:color w:val="000000"/>
                <w:szCs w:val="24"/>
                <w:highlight w:val="yellow"/>
                <w:lang w:eastAsia="en-GB"/>
              </w:rPr>
            </w:pPr>
            <w:r w:rsidRPr="001A7481">
              <w:rPr>
                <w:rFonts w:cs="Arial"/>
                <w:b/>
                <w:bCs/>
                <w:color w:val="000000"/>
                <w:szCs w:val="24"/>
              </w:rPr>
              <w:t>-0.013</w:t>
            </w:r>
          </w:p>
        </w:tc>
      </w:tr>
      <w:tr w:rsidR="009C2438" w14:paraId="1057D7A0" w14:textId="77777777" w:rsidTr="00EF055A">
        <w:trPr>
          <w:trHeight w:val="375"/>
        </w:trPr>
        <w:tc>
          <w:tcPr>
            <w:tcW w:w="2792" w:type="dxa"/>
            <w:tcBorders>
              <w:top w:val="nil"/>
              <w:left w:val="single" w:sz="8" w:space="0" w:color="auto"/>
              <w:bottom w:val="single" w:sz="8" w:space="0" w:color="auto"/>
              <w:right w:val="single" w:sz="8" w:space="0" w:color="auto"/>
            </w:tcBorders>
            <w:shd w:val="clear" w:color="auto" w:fill="auto"/>
            <w:vAlign w:val="center"/>
          </w:tcPr>
          <w:p w14:paraId="23ED296E" w14:textId="77777777" w:rsidR="00EF055A" w:rsidRPr="001A7481" w:rsidRDefault="00EF055A" w:rsidP="00EF055A">
            <w:pPr>
              <w:spacing w:after="0" w:line="240" w:lineRule="auto"/>
              <w:rPr>
                <w:rFonts w:cs="Arial"/>
                <w:bCs/>
                <w:color w:val="000000"/>
                <w:szCs w:val="24"/>
                <w:lang w:eastAsia="en-GB"/>
              </w:rPr>
            </w:pPr>
            <w:r w:rsidRPr="001A7481">
              <w:rPr>
                <w:rFonts w:cs="Arial"/>
                <w:bCs/>
                <w:color w:val="000000"/>
                <w:szCs w:val="24"/>
                <w:lang w:eastAsia="en-GB"/>
              </w:rPr>
              <w:t>Expenditure Update</w:t>
            </w:r>
          </w:p>
        </w:tc>
        <w:tc>
          <w:tcPr>
            <w:tcW w:w="1314" w:type="dxa"/>
            <w:tcBorders>
              <w:top w:val="nil"/>
              <w:left w:val="nil"/>
              <w:bottom w:val="single" w:sz="8" w:space="0" w:color="auto"/>
              <w:right w:val="single" w:sz="8" w:space="0" w:color="auto"/>
            </w:tcBorders>
            <w:shd w:val="clear" w:color="auto" w:fill="auto"/>
            <w:vAlign w:val="center"/>
          </w:tcPr>
          <w:p w14:paraId="5C5B1E1A" w14:textId="77777777" w:rsidR="00EF055A" w:rsidRPr="001A7481" w:rsidRDefault="00EF055A" w:rsidP="00EF055A">
            <w:pPr>
              <w:spacing w:after="0" w:line="240" w:lineRule="auto"/>
              <w:jc w:val="right"/>
              <w:rPr>
                <w:rFonts w:cs="Arial"/>
                <w:bCs/>
                <w:color w:val="000000"/>
                <w:szCs w:val="24"/>
                <w:lang w:eastAsia="en-GB"/>
              </w:rPr>
            </w:pPr>
            <w:r w:rsidRPr="001A7481">
              <w:rPr>
                <w:rFonts w:cs="Arial"/>
                <w:bCs/>
                <w:color w:val="000000"/>
                <w:szCs w:val="24"/>
                <w:lang w:eastAsia="en-GB"/>
              </w:rPr>
              <w:t>0.000</w:t>
            </w:r>
          </w:p>
        </w:tc>
        <w:tc>
          <w:tcPr>
            <w:tcW w:w="1254" w:type="dxa"/>
            <w:tcBorders>
              <w:top w:val="nil"/>
              <w:left w:val="nil"/>
              <w:bottom w:val="single" w:sz="8" w:space="0" w:color="auto"/>
              <w:right w:val="single" w:sz="8" w:space="0" w:color="auto"/>
            </w:tcBorders>
            <w:shd w:val="clear" w:color="auto" w:fill="auto"/>
            <w:vAlign w:val="center"/>
          </w:tcPr>
          <w:p w14:paraId="2E9EADAD" w14:textId="77777777" w:rsidR="00EF055A" w:rsidRPr="001A7481" w:rsidRDefault="00EF055A" w:rsidP="00EF055A">
            <w:pPr>
              <w:spacing w:after="0" w:line="240" w:lineRule="auto"/>
              <w:jc w:val="right"/>
              <w:rPr>
                <w:rFonts w:cs="Arial"/>
                <w:bCs/>
                <w:color w:val="000000"/>
                <w:szCs w:val="24"/>
                <w:lang w:eastAsia="en-GB"/>
              </w:rPr>
            </w:pPr>
            <w:r w:rsidRPr="001A7481">
              <w:rPr>
                <w:rFonts w:cs="Arial"/>
                <w:bCs/>
                <w:color w:val="000000"/>
                <w:szCs w:val="24"/>
                <w:lang w:eastAsia="en-GB"/>
              </w:rPr>
              <w:t>0.000</w:t>
            </w:r>
          </w:p>
        </w:tc>
        <w:tc>
          <w:tcPr>
            <w:tcW w:w="1254" w:type="dxa"/>
            <w:tcBorders>
              <w:top w:val="nil"/>
              <w:left w:val="nil"/>
              <w:bottom w:val="single" w:sz="8" w:space="0" w:color="auto"/>
              <w:right w:val="single" w:sz="4" w:space="0" w:color="auto"/>
            </w:tcBorders>
            <w:shd w:val="clear" w:color="auto" w:fill="auto"/>
            <w:vAlign w:val="center"/>
          </w:tcPr>
          <w:p w14:paraId="1879A4B6" w14:textId="77777777" w:rsidR="00EF055A" w:rsidRPr="001A7481" w:rsidRDefault="00EF055A" w:rsidP="00EF055A">
            <w:pPr>
              <w:spacing w:after="0" w:line="240" w:lineRule="auto"/>
              <w:jc w:val="right"/>
              <w:rPr>
                <w:rFonts w:cs="Arial"/>
                <w:bCs/>
                <w:color w:val="000000"/>
                <w:szCs w:val="24"/>
                <w:lang w:eastAsia="en-GB"/>
              </w:rPr>
            </w:pPr>
            <w:r w:rsidRPr="001A7481">
              <w:rPr>
                <w:rFonts w:cs="Arial"/>
                <w:bCs/>
                <w:color w:val="000000"/>
                <w:szCs w:val="24"/>
                <w:lang w:eastAsia="en-GB"/>
              </w:rPr>
              <w:t>0.000</w:t>
            </w:r>
          </w:p>
        </w:tc>
        <w:tc>
          <w:tcPr>
            <w:tcW w:w="1108" w:type="dxa"/>
            <w:tcBorders>
              <w:top w:val="single" w:sz="4" w:space="0" w:color="auto"/>
              <w:left w:val="single" w:sz="4" w:space="0" w:color="auto"/>
              <w:bottom w:val="single" w:sz="4" w:space="0" w:color="auto"/>
              <w:right w:val="single" w:sz="4" w:space="0" w:color="auto"/>
            </w:tcBorders>
          </w:tcPr>
          <w:p w14:paraId="0DB08BF3" w14:textId="77777777" w:rsidR="00EF055A" w:rsidRPr="0001253F" w:rsidRDefault="00EF055A" w:rsidP="00EF055A">
            <w:pPr>
              <w:spacing w:after="0" w:line="240" w:lineRule="auto"/>
              <w:jc w:val="right"/>
              <w:rPr>
                <w:rFonts w:cs="Arial"/>
                <w:bCs/>
                <w:color w:val="000000"/>
                <w:szCs w:val="24"/>
                <w:lang w:eastAsia="en-GB"/>
              </w:rPr>
            </w:pPr>
            <w:r w:rsidRPr="0001253F">
              <w:rPr>
                <w:rFonts w:cs="Arial"/>
                <w:bCs/>
                <w:color w:val="000000"/>
                <w:szCs w:val="24"/>
                <w:lang w:eastAsia="en-GB"/>
              </w:rPr>
              <w:t>0.000</w:t>
            </w:r>
          </w:p>
        </w:tc>
        <w:tc>
          <w:tcPr>
            <w:tcW w:w="1284" w:type="dxa"/>
            <w:tcBorders>
              <w:top w:val="nil"/>
              <w:left w:val="single" w:sz="4" w:space="0" w:color="auto"/>
              <w:bottom w:val="single" w:sz="8" w:space="0" w:color="auto"/>
              <w:right w:val="single" w:sz="8" w:space="0" w:color="auto"/>
            </w:tcBorders>
            <w:shd w:val="clear" w:color="auto" w:fill="auto"/>
            <w:vAlign w:val="center"/>
          </w:tcPr>
          <w:p w14:paraId="48F594BC" w14:textId="77777777" w:rsidR="00EF055A" w:rsidRPr="001A7481" w:rsidRDefault="00EF055A" w:rsidP="00EF055A">
            <w:pPr>
              <w:spacing w:after="0" w:line="240" w:lineRule="auto"/>
              <w:jc w:val="right"/>
              <w:rPr>
                <w:rFonts w:cs="Arial"/>
                <w:b/>
                <w:bCs/>
                <w:color w:val="000000"/>
                <w:szCs w:val="24"/>
                <w:lang w:eastAsia="en-GB"/>
              </w:rPr>
            </w:pPr>
            <w:r w:rsidRPr="001A7481">
              <w:rPr>
                <w:rFonts w:cs="Arial"/>
                <w:b/>
                <w:bCs/>
                <w:color w:val="000000"/>
                <w:szCs w:val="24"/>
                <w:lang w:eastAsia="en-GB"/>
              </w:rPr>
              <w:t>0.000</w:t>
            </w:r>
          </w:p>
        </w:tc>
      </w:tr>
      <w:tr w:rsidR="009C2438" w14:paraId="3C0A2570" w14:textId="77777777" w:rsidTr="00EF055A">
        <w:trPr>
          <w:trHeight w:val="375"/>
        </w:trPr>
        <w:tc>
          <w:tcPr>
            <w:tcW w:w="2792" w:type="dxa"/>
            <w:tcBorders>
              <w:top w:val="nil"/>
              <w:left w:val="single" w:sz="8" w:space="0" w:color="auto"/>
              <w:bottom w:val="single" w:sz="8" w:space="0" w:color="auto"/>
              <w:right w:val="single" w:sz="8" w:space="0" w:color="auto"/>
            </w:tcBorders>
            <w:shd w:val="clear" w:color="auto" w:fill="auto"/>
            <w:vAlign w:val="center"/>
          </w:tcPr>
          <w:p w14:paraId="14F7DB1C" w14:textId="77777777" w:rsidR="00EF055A" w:rsidRPr="007A60AF" w:rsidRDefault="00EF055A" w:rsidP="00EF055A">
            <w:pPr>
              <w:spacing w:after="0" w:line="240" w:lineRule="auto"/>
              <w:rPr>
                <w:rFonts w:cs="Arial"/>
                <w:b/>
                <w:bCs/>
                <w:color w:val="000000"/>
                <w:szCs w:val="24"/>
                <w:highlight w:val="yellow"/>
                <w:lang w:eastAsia="en-GB"/>
              </w:rPr>
            </w:pPr>
          </w:p>
        </w:tc>
        <w:tc>
          <w:tcPr>
            <w:tcW w:w="1314" w:type="dxa"/>
            <w:tcBorders>
              <w:top w:val="nil"/>
              <w:left w:val="nil"/>
              <w:bottom w:val="single" w:sz="8" w:space="0" w:color="auto"/>
              <w:right w:val="single" w:sz="8" w:space="0" w:color="auto"/>
            </w:tcBorders>
            <w:shd w:val="clear" w:color="auto" w:fill="auto"/>
            <w:vAlign w:val="center"/>
          </w:tcPr>
          <w:p w14:paraId="039D8DAD" w14:textId="77777777" w:rsidR="00EF055A" w:rsidRPr="007A60AF" w:rsidRDefault="00EF055A" w:rsidP="00EF055A">
            <w:pPr>
              <w:spacing w:after="0" w:line="240" w:lineRule="auto"/>
              <w:jc w:val="right"/>
              <w:rPr>
                <w:rFonts w:cs="Arial"/>
                <w:b/>
                <w:bCs/>
                <w:color w:val="000000"/>
                <w:szCs w:val="24"/>
                <w:highlight w:val="yellow"/>
                <w:lang w:eastAsia="en-GB"/>
              </w:rPr>
            </w:pPr>
          </w:p>
        </w:tc>
        <w:tc>
          <w:tcPr>
            <w:tcW w:w="1254" w:type="dxa"/>
            <w:tcBorders>
              <w:top w:val="nil"/>
              <w:left w:val="nil"/>
              <w:bottom w:val="single" w:sz="8" w:space="0" w:color="auto"/>
              <w:right w:val="single" w:sz="8" w:space="0" w:color="auto"/>
            </w:tcBorders>
            <w:shd w:val="clear" w:color="auto" w:fill="auto"/>
            <w:vAlign w:val="center"/>
          </w:tcPr>
          <w:p w14:paraId="4E50EAC8" w14:textId="77777777" w:rsidR="00EF055A" w:rsidRPr="007A60AF" w:rsidRDefault="00EF055A" w:rsidP="00EF055A">
            <w:pPr>
              <w:spacing w:after="0" w:line="240" w:lineRule="auto"/>
              <w:jc w:val="right"/>
              <w:rPr>
                <w:rFonts w:cs="Arial"/>
                <w:b/>
                <w:bCs/>
                <w:color w:val="000000"/>
                <w:szCs w:val="24"/>
                <w:highlight w:val="yellow"/>
                <w:lang w:eastAsia="en-GB"/>
              </w:rPr>
            </w:pPr>
          </w:p>
        </w:tc>
        <w:tc>
          <w:tcPr>
            <w:tcW w:w="1254" w:type="dxa"/>
            <w:tcBorders>
              <w:top w:val="nil"/>
              <w:left w:val="nil"/>
              <w:bottom w:val="single" w:sz="8" w:space="0" w:color="auto"/>
              <w:right w:val="single" w:sz="4" w:space="0" w:color="auto"/>
            </w:tcBorders>
            <w:shd w:val="clear" w:color="auto" w:fill="auto"/>
            <w:vAlign w:val="center"/>
          </w:tcPr>
          <w:p w14:paraId="114BD8B2" w14:textId="77777777" w:rsidR="00EF055A" w:rsidRPr="007A60AF" w:rsidRDefault="00EF055A" w:rsidP="00EF055A">
            <w:pPr>
              <w:spacing w:after="0" w:line="240" w:lineRule="auto"/>
              <w:jc w:val="right"/>
              <w:rPr>
                <w:rFonts w:cs="Arial"/>
                <w:b/>
                <w:bCs/>
                <w:color w:val="000000"/>
                <w:szCs w:val="24"/>
                <w:highlight w:val="yellow"/>
                <w:lang w:eastAsia="en-GB"/>
              </w:rPr>
            </w:pPr>
          </w:p>
        </w:tc>
        <w:tc>
          <w:tcPr>
            <w:tcW w:w="1108" w:type="dxa"/>
            <w:tcBorders>
              <w:top w:val="single" w:sz="4" w:space="0" w:color="auto"/>
              <w:left w:val="single" w:sz="4" w:space="0" w:color="auto"/>
              <w:bottom w:val="single" w:sz="4" w:space="0" w:color="auto"/>
              <w:right w:val="single" w:sz="4" w:space="0" w:color="auto"/>
            </w:tcBorders>
          </w:tcPr>
          <w:p w14:paraId="25C4D691" w14:textId="77777777" w:rsidR="00EF055A" w:rsidRPr="007A60AF" w:rsidRDefault="00EF055A" w:rsidP="00EF055A">
            <w:pPr>
              <w:spacing w:after="0" w:line="240" w:lineRule="auto"/>
              <w:jc w:val="right"/>
              <w:rPr>
                <w:rFonts w:cs="Arial"/>
                <w:b/>
                <w:bCs/>
                <w:color w:val="000000"/>
                <w:szCs w:val="24"/>
                <w:highlight w:val="yellow"/>
                <w:lang w:eastAsia="en-GB"/>
              </w:rPr>
            </w:pPr>
          </w:p>
        </w:tc>
        <w:tc>
          <w:tcPr>
            <w:tcW w:w="1284" w:type="dxa"/>
            <w:tcBorders>
              <w:top w:val="nil"/>
              <w:left w:val="single" w:sz="4" w:space="0" w:color="auto"/>
              <w:bottom w:val="single" w:sz="8" w:space="0" w:color="auto"/>
              <w:right w:val="single" w:sz="8" w:space="0" w:color="auto"/>
            </w:tcBorders>
            <w:shd w:val="clear" w:color="auto" w:fill="auto"/>
            <w:vAlign w:val="center"/>
          </w:tcPr>
          <w:p w14:paraId="0B685178" w14:textId="77777777" w:rsidR="00EF055A" w:rsidRPr="007A60AF" w:rsidRDefault="00EF055A" w:rsidP="00EF055A">
            <w:pPr>
              <w:spacing w:after="0" w:line="240" w:lineRule="auto"/>
              <w:jc w:val="right"/>
              <w:rPr>
                <w:rFonts w:cs="Arial"/>
                <w:b/>
                <w:bCs/>
                <w:color w:val="000000"/>
                <w:szCs w:val="24"/>
                <w:highlight w:val="yellow"/>
                <w:lang w:eastAsia="en-GB"/>
              </w:rPr>
            </w:pPr>
          </w:p>
        </w:tc>
      </w:tr>
      <w:tr w:rsidR="009C2438" w14:paraId="60E3FACA" w14:textId="77777777" w:rsidTr="00EF055A">
        <w:trPr>
          <w:trHeight w:val="375"/>
        </w:trPr>
        <w:tc>
          <w:tcPr>
            <w:tcW w:w="2792" w:type="dxa"/>
            <w:tcBorders>
              <w:top w:val="nil"/>
              <w:left w:val="single" w:sz="8" w:space="0" w:color="auto"/>
              <w:bottom w:val="single" w:sz="4" w:space="0" w:color="auto"/>
              <w:right w:val="single" w:sz="8" w:space="0" w:color="auto"/>
            </w:tcBorders>
            <w:shd w:val="clear" w:color="000000" w:fill="BFBFBF"/>
            <w:vAlign w:val="center"/>
            <w:hideMark/>
          </w:tcPr>
          <w:p w14:paraId="6C4B000B" w14:textId="77777777" w:rsidR="00EF055A" w:rsidRPr="001A7481" w:rsidRDefault="00EF055A" w:rsidP="00EF055A">
            <w:pPr>
              <w:spacing w:after="0" w:line="240" w:lineRule="auto"/>
              <w:rPr>
                <w:rFonts w:cs="Arial"/>
                <w:b/>
                <w:bCs/>
                <w:color w:val="000000"/>
                <w:szCs w:val="24"/>
                <w:lang w:eastAsia="en-GB"/>
              </w:rPr>
            </w:pPr>
            <w:r w:rsidRPr="001A7481">
              <w:rPr>
                <w:rFonts w:cs="Arial"/>
                <w:b/>
                <w:bCs/>
                <w:color w:val="000000"/>
                <w:szCs w:val="24"/>
                <w:lang w:eastAsia="en-GB"/>
              </w:rPr>
              <w:t xml:space="preserve">Revised Funding Gap </w:t>
            </w:r>
          </w:p>
        </w:tc>
        <w:tc>
          <w:tcPr>
            <w:tcW w:w="1314" w:type="dxa"/>
            <w:tcBorders>
              <w:top w:val="nil"/>
              <w:left w:val="nil"/>
              <w:bottom w:val="single" w:sz="4" w:space="0" w:color="auto"/>
              <w:right w:val="single" w:sz="8" w:space="0" w:color="auto"/>
            </w:tcBorders>
            <w:shd w:val="clear" w:color="000000" w:fill="D9D9D9"/>
            <w:vAlign w:val="center"/>
            <w:hideMark/>
          </w:tcPr>
          <w:p w14:paraId="144D9558" w14:textId="77777777" w:rsidR="00EF055A" w:rsidRPr="001A7481" w:rsidRDefault="00EF055A" w:rsidP="00EF055A">
            <w:pPr>
              <w:spacing w:after="0" w:line="240" w:lineRule="auto"/>
              <w:jc w:val="right"/>
              <w:rPr>
                <w:rFonts w:cs="Arial"/>
                <w:b/>
                <w:bCs/>
                <w:color w:val="000000"/>
                <w:szCs w:val="24"/>
                <w:lang w:eastAsia="en-GB"/>
              </w:rPr>
            </w:pPr>
            <w:r w:rsidRPr="001A7481">
              <w:rPr>
                <w:rFonts w:cs="Arial"/>
                <w:b/>
                <w:bCs/>
                <w:color w:val="000000"/>
                <w:szCs w:val="24"/>
              </w:rPr>
              <w:t>-6.251</w:t>
            </w:r>
          </w:p>
        </w:tc>
        <w:tc>
          <w:tcPr>
            <w:tcW w:w="1254" w:type="dxa"/>
            <w:tcBorders>
              <w:top w:val="nil"/>
              <w:left w:val="nil"/>
              <w:bottom w:val="single" w:sz="4" w:space="0" w:color="auto"/>
              <w:right w:val="single" w:sz="8" w:space="0" w:color="auto"/>
            </w:tcBorders>
            <w:shd w:val="clear" w:color="000000" w:fill="D9D9D9"/>
            <w:vAlign w:val="center"/>
            <w:hideMark/>
          </w:tcPr>
          <w:p w14:paraId="7F670172" w14:textId="77777777" w:rsidR="00EF055A" w:rsidRPr="001A7481" w:rsidRDefault="00EF055A" w:rsidP="00EF055A">
            <w:pPr>
              <w:spacing w:after="0" w:line="240" w:lineRule="auto"/>
              <w:jc w:val="right"/>
              <w:rPr>
                <w:rFonts w:cs="Arial"/>
                <w:b/>
                <w:bCs/>
                <w:color w:val="000000"/>
                <w:szCs w:val="24"/>
                <w:lang w:eastAsia="en-GB"/>
              </w:rPr>
            </w:pPr>
            <w:r w:rsidRPr="001A7481">
              <w:rPr>
                <w:rFonts w:cs="Arial"/>
                <w:b/>
                <w:bCs/>
                <w:color w:val="000000"/>
                <w:szCs w:val="24"/>
              </w:rPr>
              <w:t>7.926</w:t>
            </w:r>
          </w:p>
        </w:tc>
        <w:tc>
          <w:tcPr>
            <w:tcW w:w="1254" w:type="dxa"/>
            <w:tcBorders>
              <w:top w:val="nil"/>
              <w:left w:val="nil"/>
              <w:bottom w:val="single" w:sz="4" w:space="0" w:color="auto"/>
              <w:right w:val="single" w:sz="4" w:space="0" w:color="auto"/>
            </w:tcBorders>
            <w:shd w:val="clear" w:color="000000" w:fill="D9D9D9"/>
            <w:vAlign w:val="center"/>
            <w:hideMark/>
          </w:tcPr>
          <w:p w14:paraId="2DAF6043" w14:textId="77777777" w:rsidR="00EF055A" w:rsidRPr="001A7481" w:rsidRDefault="00EF055A" w:rsidP="00EF055A">
            <w:pPr>
              <w:spacing w:after="0" w:line="240" w:lineRule="auto"/>
              <w:jc w:val="right"/>
              <w:rPr>
                <w:rFonts w:cs="Arial"/>
                <w:b/>
                <w:bCs/>
                <w:color w:val="000000"/>
                <w:szCs w:val="24"/>
                <w:lang w:eastAsia="en-GB"/>
              </w:rPr>
            </w:pPr>
            <w:r w:rsidRPr="001A7481">
              <w:rPr>
                <w:rFonts w:cs="Arial"/>
                <w:b/>
                <w:bCs/>
                <w:color w:val="000000"/>
                <w:szCs w:val="24"/>
              </w:rPr>
              <w:t>13.548</w:t>
            </w:r>
          </w:p>
        </w:tc>
        <w:tc>
          <w:tcPr>
            <w:tcW w:w="1108" w:type="dxa"/>
            <w:tcBorders>
              <w:top w:val="single" w:sz="4" w:space="0" w:color="auto"/>
              <w:left w:val="single" w:sz="4" w:space="0" w:color="auto"/>
              <w:bottom w:val="single" w:sz="4" w:space="0" w:color="auto"/>
              <w:right w:val="single" w:sz="4" w:space="0" w:color="auto"/>
            </w:tcBorders>
            <w:shd w:val="clear" w:color="000000" w:fill="D9D9D9"/>
            <w:vAlign w:val="center"/>
          </w:tcPr>
          <w:p w14:paraId="3C0CA8E8" w14:textId="77777777" w:rsidR="00EF055A" w:rsidRPr="001A7481" w:rsidRDefault="00EF055A" w:rsidP="00EF055A">
            <w:pPr>
              <w:spacing w:after="0" w:line="240" w:lineRule="auto"/>
              <w:jc w:val="right"/>
              <w:rPr>
                <w:rFonts w:cs="Arial"/>
                <w:b/>
                <w:bCs/>
                <w:color w:val="000000"/>
                <w:szCs w:val="24"/>
                <w:lang w:eastAsia="en-GB"/>
              </w:rPr>
            </w:pPr>
            <w:r w:rsidRPr="001A7481">
              <w:rPr>
                <w:rFonts w:cs="Arial"/>
                <w:b/>
                <w:bCs/>
                <w:color w:val="000000"/>
                <w:szCs w:val="24"/>
              </w:rPr>
              <w:t>18.076</w:t>
            </w:r>
          </w:p>
        </w:tc>
        <w:tc>
          <w:tcPr>
            <w:tcW w:w="1284" w:type="dxa"/>
            <w:tcBorders>
              <w:top w:val="nil"/>
              <w:left w:val="single" w:sz="4" w:space="0" w:color="auto"/>
              <w:bottom w:val="single" w:sz="4" w:space="0" w:color="auto"/>
              <w:right w:val="single" w:sz="8" w:space="0" w:color="auto"/>
            </w:tcBorders>
            <w:shd w:val="clear" w:color="000000" w:fill="D9D9D9"/>
            <w:vAlign w:val="center"/>
            <w:hideMark/>
          </w:tcPr>
          <w:p w14:paraId="4CB89975" w14:textId="77777777" w:rsidR="00EF055A" w:rsidRPr="001A7481" w:rsidRDefault="00EF055A" w:rsidP="00EF055A">
            <w:pPr>
              <w:spacing w:after="0" w:line="240" w:lineRule="auto"/>
              <w:jc w:val="right"/>
              <w:rPr>
                <w:rFonts w:cs="Arial"/>
                <w:b/>
                <w:bCs/>
                <w:color w:val="000000"/>
                <w:szCs w:val="24"/>
                <w:lang w:eastAsia="en-GB"/>
              </w:rPr>
            </w:pPr>
            <w:r w:rsidRPr="001A7481">
              <w:rPr>
                <w:rFonts w:cs="Arial"/>
                <w:b/>
                <w:bCs/>
                <w:color w:val="000000"/>
                <w:szCs w:val="24"/>
              </w:rPr>
              <w:t>33.299</w:t>
            </w:r>
          </w:p>
        </w:tc>
      </w:tr>
    </w:tbl>
    <w:p w14:paraId="2518F6B2" w14:textId="77777777" w:rsidR="00EF055A" w:rsidRPr="007A60AF" w:rsidRDefault="00EF055A" w:rsidP="00EF055A">
      <w:pPr>
        <w:spacing w:after="0"/>
        <w:rPr>
          <w:rFonts w:cs="Arial"/>
          <w:b/>
          <w:szCs w:val="24"/>
          <w:highlight w:val="yellow"/>
          <w:u w:val="single"/>
        </w:rPr>
      </w:pPr>
    </w:p>
    <w:p w14:paraId="49BCBFF0" w14:textId="77777777" w:rsidR="00EF055A" w:rsidRPr="007A60AF" w:rsidRDefault="00EF055A" w:rsidP="00EF055A">
      <w:pPr>
        <w:spacing w:after="0"/>
        <w:rPr>
          <w:rFonts w:cs="Arial"/>
          <w:b/>
          <w:szCs w:val="24"/>
          <w:highlight w:val="yellow"/>
          <w:u w:val="single"/>
        </w:rPr>
      </w:pPr>
    </w:p>
    <w:p w14:paraId="691C39A5" w14:textId="77777777" w:rsidR="00EF055A" w:rsidRPr="007A60AF" w:rsidRDefault="00EF055A" w:rsidP="00EF055A">
      <w:pPr>
        <w:spacing w:after="0"/>
        <w:rPr>
          <w:rFonts w:cs="Arial"/>
          <w:b/>
          <w:szCs w:val="24"/>
          <w:highlight w:val="yellow"/>
          <w:u w:val="single"/>
        </w:rPr>
      </w:pPr>
    </w:p>
    <w:p w14:paraId="7ADC5883" w14:textId="77777777" w:rsidR="00EF055A" w:rsidRDefault="00EF055A" w:rsidP="00EF055A">
      <w:pPr>
        <w:spacing w:after="0"/>
        <w:jc w:val="both"/>
        <w:rPr>
          <w:rFonts w:cs="Arial"/>
          <w:b/>
          <w:szCs w:val="24"/>
          <w:highlight w:val="yellow"/>
          <w:u w:val="single"/>
        </w:rPr>
      </w:pPr>
    </w:p>
    <w:p w14:paraId="723C972B" w14:textId="77777777" w:rsidR="00EF055A" w:rsidRPr="007A60AF" w:rsidRDefault="00EF055A" w:rsidP="00EF055A">
      <w:pPr>
        <w:spacing w:after="0"/>
        <w:jc w:val="both"/>
        <w:rPr>
          <w:rFonts w:cs="Arial"/>
          <w:b/>
          <w:szCs w:val="24"/>
          <w:highlight w:val="yellow"/>
          <w:u w:val="single"/>
        </w:rPr>
      </w:pPr>
    </w:p>
    <w:p w14:paraId="198036F2" w14:textId="77777777" w:rsidR="00EF055A" w:rsidRPr="007A60AF" w:rsidRDefault="00EF055A" w:rsidP="00EF055A">
      <w:pPr>
        <w:spacing w:after="0"/>
        <w:jc w:val="both"/>
        <w:rPr>
          <w:rFonts w:cs="Arial"/>
          <w:b/>
          <w:szCs w:val="24"/>
          <w:highlight w:val="yellow"/>
          <w:u w:val="single"/>
        </w:rPr>
      </w:pPr>
    </w:p>
    <w:p w14:paraId="66C8B229" w14:textId="77777777" w:rsidR="00EF055A" w:rsidRPr="00CE65F0" w:rsidRDefault="00EF055A" w:rsidP="00EF055A">
      <w:pPr>
        <w:spacing w:after="0"/>
        <w:jc w:val="both"/>
        <w:rPr>
          <w:rFonts w:cs="Arial"/>
          <w:i/>
          <w:szCs w:val="24"/>
        </w:rPr>
      </w:pPr>
      <w:r w:rsidRPr="00CE65F0">
        <w:rPr>
          <w:rFonts w:cs="Arial"/>
          <w:i/>
          <w:szCs w:val="24"/>
        </w:rPr>
        <w:lastRenderedPageBreak/>
        <w:t>5.2 Revenue Budgets for Services in 2020/21</w:t>
      </w:r>
    </w:p>
    <w:p w14:paraId="3C67BD57" w14:textId="77777777" w:rsidR="00EF055A" w:rsidRPr="007A60AF" w:rsidRDefault="00EF055A" w:rsidP="00EF055A">
      <w:pPr>
        <w:spacing w:after="0"/>
        <w:jc w:val="both"/>
        <w:rPr>
          <w:rFonts w:cs="Arial"/>
          <w:i/>
          <w:szCs w:val="24"/>
          <w:highlight w:val="yellow"/>
        </w:rPr>
      </w:pPr>
    </w:p>
    <w:p w14:paraId="72D78267" w14:textId="77777777" w:rsidR="00EF055A" w:rsidRPr="00CE65F0" w:rsidRDefault="00EF055A" w:rsidP="00EF055A">
      <w:pPr>
        <w:spacing w:after="0"/>
        <w:jc w:val="both"/>
        <w:rPr>
          <w:rFonts w:cs="Arial"/>
          <w:szCs w:val="24"/>
        </w:rPr>
      </w:pPr>
      <w:r w:rsidRPr="00CE65F0">
        <w:rPr>
          <w:rFonts w:cs="Arial"/>
          <w:szCs w:val="24"/>
        </w:rPr>
        <w:t>The budget outlined below results in a net revenue budget of £</w:t>
      </w:r>
      <w:r w:rsidRPr="006839A2">
        <w:rPr>
          <w:rFonts w:cs="Arial"/>
          <w:szCs w:val="24"/>
        </w:rPr>
        <w:t xml:space="preserve">844.851m. </w:t>
      </w:r>
      <w:r w:rsidRPr="00CE65F0">
        <w:rPr>
          <w:rFonts w:cs="Arial"/>
          <w:szCs w:val="24"/>
        </w:rPr>
        <w:t>The budget by service is summarised below:</w:t>
      </w:r>
    </w:p>
    <w:p w14:paraId="50B2946A" w14:textId="77777777" w:rsidR="00EF055A" w:rsidRPr="00CE65F0" w:rsidRDefault="00EF055A" w:rsidP="00EF055A">
      <w:pPr>
        <w:spacing w:after="0"/>
        <w:jc w:val="both"/>
        <w:rPr>
          <w:rFonts w:cs="Arial"/>
          <w:szCs w:val="24"/>
        </w:rPr>
      </w:pPr>
      <w:r w:rsidRPr="00CE65F0">
        <w:rPr>
          <w:rFonts w:cs="Arial"/>
          <w:szCs w:val="24"/>
        </w:rPr>
        <w:t xml:space="preserve"> </w:t>
      </w:r>
    </w:p>
    <w:p w14:paraId="6DF48F08" w14:textId="77777777" w:rsidR="00EF055A" w:rsidRPr="00CE65F0" w:rsidRDefault="00EF055A" w:rsidP="00EF055A">
      <w:pPr>
        <w:spacing w:after="0"/>
        <w:jc w:val="both"/>
        <w:rPr>
          <w:rFonts w:cs="Arial"/>
          <w:b/>
          <w:bCs/>
          <w:color w:val="000000"/>
          <w:sz w:val="22"/>
          <w:lang w:eastAsia="en-GB"/>
        </w:rPr>
      </w:pPr>
      <w:r w:rsidRPr="00CE65F0">
        <w:rPr>
          <w:rFonts w:cs="Arial"/>
          <w:b/>
          <w:szCs w:val="24"/>
          <w:u w:val="single"/>
        </w:rPr>
        <w:t xml:space="preserve">Table </w:t>
      </w:r>
      <w:r>
        <w:rPr>
          <w:rFonts w:cs="Arial"/>
          <w:b/>
          <w:szCs w:val="24"/>
          <w:u w:val="single"/>
        </w:rPr>
        <w:t>8</w:t>
      </w:r>
    </w:p>
    <w:p w14:paraId="5A200EA8" w14:textId="77777777" w:rsidR="00EF055A" w:rsidRPr="007A60AF" w:rsidRDefault="00EF055A" w:rsidP="00EF055A">
      <w:pPr>
        <w:spacing w:after="0"/>
        <w:jc w:val="both"/>
        <w:rPr>
          <w:rFonts w:cs="Arial"/>
          <w:szCs w:val="24"/>
          <w:highlight w:val="yellow"/>
        </w:rPr>
      </w:pPr>
    </w:p>
    <w:tbl>
      <w:tblPr>
        <w:tblW w:w="7868" w:type="dxa"/>
        <w:jc w:val="center"/>
        <w:tblLayout w:type="fixed"/>
        <w:tblLook w:val="04A0" w:firstRow="1" w:lastRow="0" w:firstColumn="1" w:lastColumn="0" w:noHBand="0" w:noVBand="1"/>
      </w:tblPr>
      <w:tblGrid>
        <w:gridCol w:w="5089"/>
        <w:gridCol w:w="2779"/>
      </w:tblGrid>
      <w:tr w:rsidR="009C2438" w14:paraId="0159FD8C" w14:textId="77777777" w:rsidTr="00EF055A">
        <w:trPr>
          <w:trHeight w:val="641"/>
          <w:jc w:val="center"/>
        </w:trPr>
        <w:tc>
          <w:tcPr>
            <w:tcW w:w="5089" w:type="dxa"/>
            <w:tcBorders>
              <w:top w:val="single" w:sz="4" w:space="0" w:color="auto"/>
              <w:left w:val="single" w:sz="4" w:space="0" w:color="auto"/>
              <w:right w:val="single" w:sz="4" w:space="0" w:color="auto"/>
            </w:tcBorders>
            <w:shd w:val="clear" w:color="auto" w:fill="auto"/>
            <w:vAlign w:val="bottom"/>
            <w:hideMark/>
          </w:tcPr>
          <w:p w14:paraId="1ADF1A7A" w14:textId="77777777" w:rsidR="00EF055A" w:rsidRPr="00CE65F0" w:rsidRDefault="00EF055A" w:rsidP="00EF055A">
            <w:pPr>
              <w:jc w:val="center"/>
              <w:rPr>
                <w:rFonts w:cs="Arial"/>
                <w:b/>
                <w:bCs/>
                <w:color w:val="000000"/>
                <w:sz w:val="22"/>
              </w:rPr>
            </w:pPr>
            <w:r w:rsidRPr="00CE65F0">
              <w:rPr>
                <w:rFonts w:cs="Arial"/>
                <w:b/>
                <w:bCs/>
                <w:color w:val="000000"/>
                <w:sz w:val="22"/>
              </w:rPr>
              <w:t>Revenue Budget 2020/21</w:t>
            </w:r>
          </w:p>
        </w:tc>
        <w:tc>
          <w:tcPr>
            <w:tcW w:w="2779" w:type="dxa"/>
            <w:tcBorders>
              <w:top w:val="single" w:sz="4" w:space="0" w:color="auto"/>
              <w:left w:val="single" w:sz="4" w:space="0" w:color="auto"/>
              <w:right w:val="single" w:sz="4" w:space="0" w:color="auto"/>
            </w:tcBorders>
            <w:shd w:val="clear" w:color="auto" w:fill="auto"/>
            <w:noWrap/>
            <w:vAlign w:val="center"/>
            <w:hideMark/>
          </w:tcPr>
          <w:p w14:paraId="7C076CD2" w14:textId="77777777" w:rsidR="00EF055A" w:rsidRPr="00CE65F0" w:rsidRDefault="00EF055A" w:rsidP="00EF055A">
            <w:pPr>
              <w:spacing w:after="0"/>
              <w:jc w:val="center"/>
              <w:rPr>
                <w:rFonts w:cs="Arial"/>
                <w:b/>
                <w:bCs/>
                <w:color w:val="000000"/>
                <w:sz w:val="22"/>
              </w:rPr>
            </w:pPr>
            <w:r w:rsidRPr="00CE65F0">
              <w:rPr>
                <w:rFonts w:cs="Arial"/>
                <w:b/>
                <w:bCs/>
                <w:color w:val="000000"/>
                <w:sz w:val="22"/>
              </w:rPr>
              <w:t>Net Budget</w:t>
            </w:r>
          </w:p>
          <w:p w14:paraId="43E69E76" w14:textId="77777777" w:rsidR="00EF055A" w:rsidRPr="00CE65F0" w:rsidRDefault="00EF055A" w:rsidP="00EF055A">
            <w:pPr>
              <w:spacing w:after="0"/>
              <w:jc w:val="center"/>
              <w:rPr>
                <w:rFonts w:cs="Arial"/>
                <w:b/>
                <w:bCs/>
                <w:color w:val="000000"/>
                <w:sz w:val="22"/>
              </w:rPr>
            </w:pPr>
            <w:r w:rsidRPr="00CE65F0">
              <w:rPr>
                <w:rFonts w:cs="Arial"/>
                <w:b/>
                <w:bCs/>
                <w:color w:val="000000"/>
                <w:sz w:val="22"/>
              </w:rPr>
              <w:t>£m</w:t>
            </w:r>
          </w:p>
        </w:tc>
      </w:tr>
      <w:tr w:rsidR="009C2438" w14:paraId="67A160E5"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08DD1" w14:textId="77777777" w:rsidR="00EF055A" w:rsidRPr="00511E20" w:rsidRDefault="00EF055A" w:rsidP="00EF055A">
            <w:pPr>
              <w:rPr>
                <w:rFonts w:cs="Arial"/>
                <w:b/>
                <w:bCs/>
                <w:color w:val="000000"/>
                <w:sz w:val="22"/>
              </w:rPr>
            </w:pPr>
            <w:r w:rsidRPr="00511E20">
              <w:rPr>
                <w:rFonts w:cs="Arial"/>
                <w:color w:val="000000"/>
                <w:sz w:val="22"/>
              </w:rPr>
              <w:t>Adult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372D8057" w14:textId="77777777" w:rsidR="00EF055A" w:rsidRPr="007A60AF" w:rsidRDefault="00EF055A" w:rsidP="00EF055A">
            <w:pPr>
              <w:jc w:val="right"/>
              <w:rPr>
                <w:rFonts w:cs="Arial"/>
                <w:bCs/>
                <w:color w:val="000000"/>
                <w:sz w:val="22"/>
                <w:highlight w:val="yellow"/>
              </w:rPr>
            </w:pPr>
            <w:r w:rsidRPr="008C4F4F">
              <w:t>365.591</w:t>
            </w:r>
          </w:p>
        </w:tc>
      </w:tr>
      <w:tr w:rsidR="009C2438" w14:paraId="50D895EF"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50F227C" w14:textId="77777777" w:rsidR="00EF055A" w:rsidRPr="00511E20" w:rsidRDefault="00EF055A" w:rsidP="00EF055A">
            <w:pPr>
              <w:rPr>
                <w:rFonts w:cs="Arial"/>
                <w:color w:val="000000"/>
                <w:sz w:val="22"/>
              </w:rPr>
            </w:pPr>
            <w:r w:rsidRPr="00511E20">
              <w:rPr>
                <w:rFonts w:cs="Arial"/>
                <w:color w:val="000000"/>
                <w:sz w:val="22"/>
              </w:rPr>
              <w:t>Chief Executive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20AABB1A" w14:textId="77777777" w:rsidR="00EF055A" w:rsidRPr="007A60AF" w:rsidRDefault="00EF055A" w:rsidP="00EF055A">
            <w:pPr>
              <w:jc w:val="right"/>
              <w:rPr>
                <w:rFonts w:cs="Arial"/>
                <w:bCs/>
                <w:color w:val="000000"/>
                <w:sz w:val="22"/>
                <w:highlight w:val="yellow"/>
              </w:rPr>
            </w:pPr>
            <w:r w:rsidRPr="008C4F4F">
              <w:t>16.317</w:t>
            </w:r>
          </w:p>
        </w:tc>
      </w:tr>
      <w:tr w:rsidR="009C2438" w14:paraId="14DAD921"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1FFCC239" w14:textId="77777777" w:rsidR="00EF055A" w:rsidRPr="00511E20" w:rsidRDefault="00EF055A" w:rsidP="00EF055A">
            <w:pPr>
              <w:rPr>
                <w:rFonts w:cs="Arial"/>
                <w:color w:val="000000"/>
                <w:sz w:val="22"/>
              </w:rPr>
            </w:pPr>
            <w:r w:rsidRPr="00511E20">
              <w:rPr>
                <w:rFonts w:cs="Arial"/>
                <w:color w:val="000000"/>
                <w:sz w:val="22"/>
              </w:rPr>
              <w:t>Children's Social Care</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3EB3DABA" w14:textId="77777777" w:rsidR="00EF055A" w:rsidRPr="007A60AF" w:rsidRDefault="00EF055A" w:rsidP="00EF055A">
            <w:pPr>
              <w:jc w:val="right"/>
              <w:rPr>
                <w:rFonts w:cs="Arial"/>
                <w:color w:val="000000"/>
                <w:sz w:val="22"/>
                <w:highlight w:val="yellow"/>
              </w:rPr>
            </w:pPr>
            <w:r w:rsidRPr="008C4F4F">
              <w:t>149.510</w:t>
            </w:r>
          </w:p>
        </w:tc>
      </w:tr>
      <w:tr w:rsidR="009C2438" w14:paraId="152C6B2E"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2AC88C60" w14:textId="77777777" w:rsidR="00EF055A" w:rsidRPr="00511E20" w:rsidRDefault="00EF055A" w:rsidP="00EF055A">
            <w:pPr>
              <w:rPr>
                <w:rFonts w:cs="Arial"/>
                <w:color w:val="000000"/>
                <w:sz w:val="22"/>
              </w:rPr>
            </w:pPr>
            <w:r w:rsidRPr="00511E20">
              <w:rPr>
                <w:rFonts w:cs="Arial"/>
                <w:color w:val="000000"/>
                <w:sz w:val="22"/>
              </w:rPr>
              <w:t>Corporate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6ABDF9FE" w14:textId="77777777" w:rsidR="00EF055A" w:rsidRPr="007A60AF" w:rsidRDefault="00EF055A" w:rsidP="00EF055A">
            <w:pPr>
              <w:jc w:val="right"/>
              <w:rPr>
                <w:rFonts w:cs="Arial"/>
                <w:color w:val="000000"/>
                <w:sz w:val="22"/>
                <w:highlight w:val="yellow"/>
              </w:rPr>
            </w:pPr>
            <w:r w:rsidRPr="008C4F4F">
              <w:t>18.790</w:t>
            </w:r>
          </w:p>
        </w:tc>
      </w:tr>
      <w:tr w:rsidR="009C2438" w14:paraId="3E3F2FD0"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4187862" w14:textId="77777777" w:rsidR="00EF055A" w:rsidRPr="00511E20" w:rsidRDefault="00EF055A" w:rsidP="00EF055A">
            <w:pPr>
              <w:rPr>
                <w:rFonts w:cs="Arial"/>
                <w:color w:val="000000"/>
                <w:sz w:val="22"/>
              </w:rPr>
            </w:pPr>
            <w:r w:rsidRPr="00511E20">
              <w:rPr>
                <w:rFonts w:cs="Arial"/>
                <w:color w:val="000000"/>
                <w:sz w:val="22"/>
              </w:rPr>
              <w:t>Education and Skills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19CF3C0B" w14:textId="77777777" w:rsidR="00EF055A" w:rsidRPr="007A60AF" w:rsidRDefault="00EF055A" w:rsidP="00EF055A">
            <w:pPr>
              <w:jc w:val="right"/>
              <w:rPr>
                <w:rFonts w:cs="Arial"/>
                <w:color w:val="000000"/>
                <w:sz w:val="22"/>
                <w:highlight w:val="yellow"/>
              </w:rPr>
            </w:pPr>
            <w:r w:rsidRPr="008C4F4F">
              <w:t>49.546</w:t>
            </w:r>
          </w:p>
        </w:tc>
      </w:tr>
      <w:tr w:rsidR="009C2438" w14:paraId="388DBAF2"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191A12C9" w14:textId="77777777" w:rsidR="00EF055A" w:rsidRPr="00511E20" w:rsidRDefault="00EF055A" w:rsidP="00EF055A">
            <w:pPr>
              <w:rPr>
                <w:rFonts w:cs="Arial"/>
                <w:color w:val="000000"/>
                <w:sz w:val="22"/>
              </w:rPr>
            </w:pPr>
            <w:r w:rsidRPr="00511E20">
              <w:rPr>
                <w:rFonts w:cs="Arial"/>
                <w:color w:val="000000"/>
                <w:sz w:val="22"/>
              </w:rPr>
              <w:t>Finance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184F62CB" w14:textId="77777777" w:rsidR="00EF055A" w:rsidRPr="007A60AF" w:rsidRDefault="00EF055A" w:rsidP="00EF055A">
            <w:pPr>
              <w:jc w:val="right"/>
              <w:rPr>
                <w:rFonts w:cs="Arial"/>
                <w:color w:val="000000"/>
                <w:sz w:val="22"/>
                <w:highlight w:val="yellow"/>
              </w:rPr>
            </w:pPr>
            <w:r w:rsidRPr="008C4F4F">
              <w:t>42.154</w:t>
            </w:r>
          </w:p>
        </w:tc>
      </w:tr>
      <w:tr w:rsidR="009C2438" w14:paraId="4B7C9660"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049AE68" w14:textId="77777777" w:rsidR="00EF055A" w:rsidRPr="00511E20" w:rsidRDefault="00EF055A" w:rsidP="00EF055A">
            <w:pPr>
              <w:rPr>
                <w:rFonts w:cs="Arial"/>
                <w:color w:val="000000"/>
                <w:sz w:val="22"/>
              </w:rPr>
            </w:pPr>
            <w:r w:rsidRPr="00511E20">
              <w:rPr>
                <w:rFonts w:cs="Arial"/>
                <w:color w:val="000000"/>
                <w:sz w:val="22"/>
              </w:rPr>
              <w:t>Growth, Environment and Planning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15B4931E" w14:textId="77777777" w:rsidR="00EF055A" w:rsidRPr="007A60AF" w:rsidRDefault="00EF055A" w:rsidP="00EF055A">
            <w:pPr>
              <w:jc w:val="right"/>
              <w:rPr>
                <w:rFonts w:cs="Arial"/>
                <w:color w:val="000000"/>
                <w:sz w:val="22"/>
                <w:highlight w:val="yellow"/>
              </w:rPr>
            </w:pPr>
            <w:r w:rsidRPr="008C4F4F">
              <w:t>4.787</w:t>
            </w:r>
          </w:p>
        </w:tc>
      </w:tr>
      <w:tr w:rsidR="009C2438" w14:paraId="0DA2B25E"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05A1CEB9" w14:textId="77777777" w:rsidR="00EF055A" w:rsidRPr="00511E20" w:rsidRDefault="00EF055A" w:rsidP="00EF055A">
            <w:pPr>
              <w:rPr>
                <w:rFonts w:cs="Arial"/>
                <w:color w:val="000000"/>
                <w:sz w:val="22"/>
              </w:rPr>
            </w:pPr>
            <w:r w:rsidRPr="00511E20">
              <w:rPr>
                <w:rFonts w:cs="Arial"/>
                <w:color w:val="000000"/>
                <w:sz w:val="22"/>
              </w:rPr>
              <w:t>Waste Management</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2B844DA0" w14:textId="77777777" w:rsidR="00EF055A" w:rsidRPr="007A60AF" w:rsidRDefault="00EF055A" w:rsidP="00EF055A">
            <w:pPr>
              <w:ind w:left="-222"/>
              <w:jc w:val="right"/>
              <w:rPr>
                <w:rFonts w:cs="Arial"/>
                <w:color w:val="000000"/>
                <w:sz w:val="22"/>
                <w:highlight w:val="yellow"/>
              </w:rPr>
            </w:pPr>
            <w:r w:rsidRPr="008C4F4F">
              <w:t>65.956</w:t>
            </w:r>
          </w:p>
        </w:tc>
      </w:tr>
      <w:tr w:rsidR="009C2438" w14:paraId="3B3DFC71"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5A17F50" w14:textId="77777777" w:rsidR="00EF055A" w:rsidRPr="00511E20" w:rsidRDefault="00EF055A" w:rsidP="00EF055A">
            <w:pPr>
              <w:rPr>
                <w:rFonts w:cs="Arial"/>
                <w:color w:val="000000"/>
                <w:sz w:val="22"/>
              </w:rPr>
            </w:pPr>
            <w:r w:rsidRPr="00511E20">
              <w:rPr>
                <w:rFonts w:cs="Arial"/>
                <w:color w:val="000000"/>
                <w:sz w:val="22"/>
              </w:rPr>
              <w:t>Highways and Transport</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0F9DFEA0" w14:textId="77777777" w:rsidR="00EF055A" w:rsidRPr="007A60AF" w:rsidRDefault="00EF055A" w:rsidP="00EF055A">
            <w:pPr>
              <w:ind w:left="-222"/>
              <w:jc w:val="right"/>
              <w:rPr>
                <w:rFonts w:cs="Arial"/>
                <w:color w:val="000000"/>
                <w:sz w:val="22"/>
                <w:highlight w:val="yellow"/>
              </w:rPr>
            </w:pPr>
            <w:r w:rsidRPr="008C4F4F">
              <w:t>63.436</w:t>
            </w:r>
          </w:p>
        </w:tc>
      </w:tr>
      <w:tr w:rsidR="009C2438" w14:paraId="69CE4588"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540A5D5B" w14:textId="77777777" w:rsidR="00EF055A" w:rsidRPr="00511E20" w:rsidRDefault="00EF055A" w:rsidP="00EF055A">
            <w:pPr>
              <w:rPr>
                <w:rFonts w:cs="Arial"/>
                <w:color w:val="000000"/>
                <w:sz w:val="22"/>
              </w:rPr>
            </w:pPr>
            <w:r w:rsidRPr="00511E20">
              <w:rPr>
                <w:rFonts w:cs="Arial"/>
                <w:color w:val="000000"/>
                <w:sz w:val="22"/>
              </w:rPr>
              <w:t>Public Health and Wellbeing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2CAC51E3" w14:textId="77777777" w:rsidR="00EF055A" w:rsidRPr="007A60AF" w:rsidRDefault="00EF055A" w:rsidP="00EF055A">
            <w:pPr>
              <w:ind w:left="-222"/>
              <w:jc w:val="right"/>
              <w:rPr>
                <w:rFonts w:cs="Arial"/>
                <w:color w:val="000000"/>
                <w:sz w:val="22"/>
                <w:highlight w:val="yellow"/>
              </w:rPr>
            </w:pPr>
            <w:r w:rsidRPr="008C4F4F">
              <w:t>1.155</w:t>
            </w:r>
          </w:p>
        </w:tc>
      </w:tr>
      <w:tr w:rsidR="009C2438" w14:paraId="4D5F8483"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294E6AF8" w14:textId="77777777" w:rsidR="00EF055A" w:rsidRPr="00511E20" w:rsidRDefault="00EF055A" w:rsidP="00EF055A">
            <w:pPr>
              <w:rPr>
                <w:rFonts w:cs="Arial"/>
                <w:color w:val="000000"/>
                <w:sz w:val="22"/>
              </w:rPr>
            </w:pPr>
            <w:r w:rsidRPr="00511E20">
              <w:rPr>
                <w:rFonts w:cs="Arial"/>
                <w:color w:val="000000"/>
                <w:sz w:val="22"/>
              </w:rPr>
              <w:t>Strategy and Performance</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406A6989" w14:textId="77777777" w:rsidR="00EF055A" w:rsidRPr="007A60AF" w:rsidRDefault="00EF055A" w:rsidP="00EF055A">
            <w:pPr>
              <w:ind w:left="-222"/>
              <w:jc w:val="right"/>
              <w:rPr>
                <w:rFonts w:cs="Arial"/>
                <w:color w:val="000000"/>
                <w:sz w:val="22"/>
                <w:highlight w:val="yellow"/>
              </w:rPr>
            </w:pPr>
            <w:r w:rsidRPr="008C4F4F">
              <w:t>33.903</w:t>
            </w:r>
          </w:p>
        </w:tc>
      </w:tr>
      <w:tr w:rsidR="009C2438" w14:paraId="606FF6F8"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6B63F7" w14:textId="77777777" w:rsidR="00EF055A" w:rsidRPr="00511E20" w:rsidRDefault="00EF055A" w:rsidP="00EF055A">
            <w:pPr>
              <w:rPr>
                <w:rFonts w:cs="Arial"/>
                <w:color w:val="000000"/>
                <w:sz w:val="22"/>
              </w:rPr>
            </w:pPr>
            <w:r w:rsidRPr="00511E20">
              <w:rPr>
                <w:rFonts w:cs="Arial"/>
                <w:b/>
                <w:bCs/>
                <w:color w:val="000000"/>
                <w:sz w:val="22"/>
              </w:rPr>
              <w:t>Sub-Total</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6E6D46C" w14:textId="77777777" w:rsidR="00EF055A" w:rsidRPr="008C4A90" w:rsidRDefault="00EF055A" w:rsidP="00EF055A">
            <w:pPr>
              <w:jc w:val="right"/>
              <w:rPr>
                <w:rFonts w:cs="Arial"/>
                <w:b/>
                <w:color w:val="000000"/>
                <w:sz w:val="22"/>
                <w:highlight w:val="yellow"/>
              </w:rPr>
            </w:pPr>
            <w:r w:rsidRPr="00511E20">
              <w:rPr>
                <w:b/>
              </w:rPr>
              <w:t>811.145</w:t>
            </w:r>
          </w:p>
        </w:tc>
      </w:tr>
      <w:tr w:rsidR="009C2438" w14:paraId="204CE928"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269BA" w14:textId="77777777" w:rsidR="00EF055A" w:rsidRPr="00511E20" w:rsidRDefault="00EF055A" w:rsidP="00EF055A">
            <w:pPr>
              <w:rPr>
                <w:rFonts w:cs="Arial"/>
                <w:bCs/>
                <w:color w:val="000000"/>
                <w:sz w:val="22"/>
              </w:rPr>
            </w:pPr>
            <w:r w:rsidRPr="00511E20">
              <w:rPr>
                <w:rFonts w:cs="Arial"/>
                <w:color w:val="000000"/>
                <w:sz w:val="22"/>
              </w:rPr>
              <w:t>Financing Charges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547ED20C" w14:textId="77777777" w:rsidR="00EF055A" w:rsidRPr="007A60AF" w:rsidRDefault="00EF055A" w:rsidP="00EF055A">
            <w:pPr>
              <w:jc w:val="right"/>
              <w:rPr>
                <w:rFonts w:cs="Arial"/>
                <w:bCs/>
                <w:color w:val="000000"/>
                <w:sz w:val="22"/>
                <w:highlight w:val="yellow"/>
              </w:rPr>
            </w:pPr>
            <w:r w:rsidRPr="008C4F4F">
              <w:t>27.455</w:t>
            </w:r>
          </w:p>
        </w:tc>
      </w:tr>
      <w:tr w:rsidR="009C2438" w14:paraId="3B595189"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9725B" w14:textId="77777777" w:rsidR="00EF055A" w:rsidRPr="007A60AF" w:rsidRDefault="00EF055A" w:rsidP="00EF055A">
            <w:pPr>
              <w:rPr>
                <w:rFonts w:cs="Arial"/>
                <w:color w:val="000000"/>
                <w:sz w:val="22"/>
                <w:highlight w:val="yellow"/>
              </w:rPr>
            </w:pPr>
            <w:r w:rsidRPr="00FB7393">
              <w:rPr>
                <w:rFonts w:cs="Arial"/>
                <w:color w:val="000000"/>
                <w:sz w:val="22"/>
              </w:rPr>
              <w:t>Available Resources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14:paraId="36C4EA32" w14:textId="77777777" w:rsidR="00EF055A" w:rsidRPr="007A60AF" w:rsidRDefault="00EF055A" w:rsidP="00EF055A">
            <w:pPr>
              <w:jc w:val="right"/>
              <w:rPr>
                <w:rFonts w:cs="Arial"/>
                <w:color w:val="000000"/>
                <w:sz w:val="22"/>
                <w:highlight w:val="yellow"/>
              </w:rPr>
            </w:pPr>
            <w:r w:rsidRPr="008C4F4F">
              <w:t>6.251</w:t>
            </w:r>
          </w:p>
        </w:tc>
      </w:tr>
      <w:tr w:rsidR="009C2438" w14:paraId="13605EB6" w14:textId="77777777" w:rsidTr="00EF055A">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99D8A6" w14:textId="77777777" w:rsidR="00EF055A" w:rsidRPr="007A60AF" w:rsidRDefault="00EF055A" w:rsidP="00EF055A">
            <w:pPr>
              <w:rPr>
                <w:rFonts w:cs="Arial"/>
                <w:color w:val="000000"/>
                <w:sz w:val="23"/>
                <w:szCs w:val="23"/>
                <w:highlight w:val="yellow"/>
              </w:rPr>
            </w:pPr>
            <w:r w:rsidRPr="00CE65F0">
              <w:rPr>
                <w:rFonts w:cs="Arial"/>
                <w:b/>
                <w:bCs/>
                <w:color w:val="000000"/>
                <w:sz w:val="23"/>
                <w:szCs w:val="23"/>
              </w:rPr>
              <w:t>Revenue budget 2020/21</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5193703" w14:textId="77777777" w:rsidR="00EF055A" w:rsidRPr="008C4A90" w:rsidRDefault="00EF055A" w:rsidP="00EF055A">
            <w:pPr>
              <w:jc w:val="right"/>
              <w:rPr>
                <w:rFonts w:cs="Arial"/>
                <w:b/>
                <w:color w:val="000000"/>
                <w:sz w:val="23"/>
                <w:szCs w:val="23"/>
                <w:highlight w:val="yellow"/>
              </w:rPr>
            </w:pPr>
            <w:r w:rsidRPr="00511E20">
              <w:rPr>
                <w:b/>
              </w:rPr>
              <w:t>844.851</w:t>
            </w:r>
          </w:p>
        </w:tc>
      </w:tr>
    </w:tbl>
    <w:p w14:paraId="731E1FD1" w14:textId="77777777" w:rsidR="00EF055A" w:rsidRPr="007A60AF" w:rsidRDefault="00EF055A" w:rsidP="00EF055A">
      <w:pPr>
        <w:spacing w:after="0"/>
        <w:jc w:val="both"/>
        <w:rPr>
          <w:rFonts w:cs="Arial"/>
          <w:szCs w:val="24"/>
          <w:highlight w:val="yellow"/>
        </w:rPr>
      </w:pPr>
    </w:p>
    <w:p w14:paraId="65B77B80" w14:textId="77777777" w:rsidR="00EF055A" w:rsidRDefault="00EF055A">
      <w:pPr>
        <w:rPr>
          <w:rFonts w:cs="Arial"/>
          <w:szCs w:val="24"/>
          <w:highlight w:val="yellow"/>
        </w:rPr>
      </w:pPr>
      <w:r>
        <w:rPr>
          <w:rFonts w:cs="Arial"/>
          <w:szCs w:val="24"/>
          <w:highlight w:val="yellow"/>
        </w:rPr>
        <w:br w:type="page"/>
      </w:r>
    </w:p>
    <w:p w14:paraId="4B09D0F7" w14:textId="77777777" w:rsidR="00EF055A" w:rsidRPr="00902E41" w:rsidRDefault="00EF055A" w:rsidP="00EF055A">
      <w:pPr>
        <w:spacing w:after="0"/>
        <w:jc w:val="both"/>
        <w:rPr>
          <w:rFonts w:cs="Arial"/>
          <w:b/>
          <w:bCs/>
          <w:szCs w:val="24"/>
        </w:rPr>
      </w:pPr>
      <w:r w:rsidRPr="00902E41">
        <w:rPr>
          <w:rFonts w:cs="Arial"/>
          <w:b/>
          <w:bCs/>
          <w:szCs w:val="24"/>
        </w:rPr>
        <w:lastRenderedPageBreak/>
        <w:t xml:space="preserve">6. The Capital Delivery Programme </w:t>
      </w:r>
    </w:p>
    <w:p w14:paraId="52A26A0C" w14:textId="77777777" w:rsidR="00EF055A" w:rsidRPr="00902E41" w:rsidRDefault="00EF055A" w:rsidP="00EF055A">
      <w:pPr>
        <w:spacing w:after="0"/>
        <w:jc w:val="both"/>
        <w:rPr>
          <w:rFonts w:cs="Arial"/>
          <w:szCs w:val="24"/>
        </w:rPr>
      </w:pPr>
    </w:p>
    <w:p w14:paraId="3BCB31CA" w14:textId="77777777" w:rsidR="00EF055A" w:rsidRPr="00902E41" w:rsidRDefault="00EF055A" w:rsidP="00EF055A">
      <w:pPr>
        <w:autoSpaceDE w:val="0"/>
        <w:autoSpaceDN w:val="0"/>
        <w:adjustRightInd w:val="0"/>
        <w:spacing w:after="0"/>
        <w:jc w:val="both"/>
        <w:rPr>
          <w:rFonts w:eastAsia="Calibri" w:cs="Helvetica-Light"/>
          <w:color w:val="000000"/>
          <w:szCs w:val="24"/>
        </w:rPr>
      </w:pPr>
      <w:r w:rsidRPr="00902E41">
        <w:rPr>
          <w:rFonts w:eastAsia="Calibri" w:cs="Helvetica-Light"/>
          <w:color w:val="000000"/>
          <w:szCs w:val="24"/>
        </w:rPr>
        <w:t>This section of the report sets out the following:</w:t>
      </w:r>
    </w:p>
    <w:p w14:paraId="7D41EDA4" w14:textId="77777777" w:rsidR="00EF055A" w:rsidRPr="007A60AF" w:rsidRDefault="00EF055A" w:rsidP="00EF055A">
      <w:pPr>
        <w:autoSpaceDE w:val="0"/>
        <w:autoSpaceDN w:val="0"/>
        <w:adjustRightInd w:val="0"/>
        <w:spacing w:after="0"/>
        <w:jc w:val="both"/>
        <w:rPr>
          <w:rFonts w:eastAsia="Calibri" w:cs="Helvetica-Light"/>
          <w:color w:val="000000"/>
          <w:szCs w:val="24"/>
          <w:highlight w:val="yellow"/>
        </w:rPr>
      </w:pPr>
    </w:p>
    <w:p w14:paraId="6546B5EB" w14:textId="77777777" w:rsidR="00EF055A" w:rsidRPr="00902E41" w:rsidRDefault="00EF055A" w:rsidP="00EF055A">
      <w:pPr>
        <w:numPr>
          <w:ilvl w:val="0"/>
          <w:numId w:val="7"/>
        </w:numPr>
        <w:autoSpaceDE w:val="0"/>
        <w:autoSpaceDN w:val="0"/>
        <w:adjustRightInd w:val="0"/>
        <w:spacing w:after="0"/>
        <w:ind w:left="284" w:hanging="284"/>
        <w:jc w:val="both"/>
        <w:rPr>
          <w:rFonts w:eastAsia="Calibri" w:cs="Helvetica-Light"/>
          <w:color w:val="000000"/>
          <w:szCs w:val="24"/>
        </w:rPr>
      </w:pPr>
      <w:r>
        <w:rPr>
          <w:rFonts w:eastAsia="Calibri" w:cs="Helvetica-Light"/>
          <w:color w:val="000000"/>
          <w:szCs w:val="24"/>
        </w:rPr>
        <w:t>A</w:t>
      </w:r>
      <w:r w:rsidRPr="00902E41">
        <w:rPr>
          <w:rFonts w:eastAsia="Calibri" w:cs="Helvetica-Light"/>
          <w:color w:val="000000"/>
          <w:szCs w:val="24"/>
        </w:rPr>
        <w:t>n outline of the 2020/21 capital delivery programme including known projects; and</w:t>
      </w:r>
    </w:p>
    <w:p w14:paraId="64BDF6A0" w14:textId="77777777" w:rsidR="00EF055A" w:rsidRPr="00902E41" w:rsidRDefault="00EF055A" w:rsidP="00EF055A">
      <w:pPr>
        <w:autoSpaceDE w:val="0"/>
        <w:autoSpaceDN w:val="0"/>
        <w:adjustRightInd w:val="0"/>
        <w:spacing w:after="0"/>
        <w:ind w:left="284"/>
        <w:jc w:val="both"/>
        <w:rPr>
          <w:rFonts w:eastAsia="Calibri" w:cs="Helvetica-Light"/>
          <w:color w:val="000000"/>
          <w:szCs w:val="24"/>
        </w:rPr>
      </w:pPr>
    </w:p>
    <w:p w14:paraId="66AB346F" w14:textId="77777777" w:rsidR="00EF055A" w:rsidRPr="00C44952" w:rsidRDefault="00EF055A" w:rsidP="00EF055A">
      <w:pPr>
        <w:numPr>
          <w:ilvl w:val="0"/>
          <w:numId w:val="7"/>
        </w:numPr>
        <w:autoSpaceDE w:val="0"/>
        <w:autoSpaceDN w:val="0"/>
        <w:adjustRightInd w:val="0"/>
        <w:spacing w:after="0"/>
        <w:ind w:left="284" w:hanging="284"/>
        <w:jc w:val="both"/>
        <w:rPr>
          <w:rFonts w:eastAsia="Calibri" w:cs="Helvetica-Light"/>
          <w:color w:val="000000"/>
          <w:szCs w:val="24"/>
        </w:rPr>
      </w:pPr>
      <w:r>
        <w:rPr>
          <w:rFonts w:eastAsia="Calibri" w:cs="Helvetica-Light"/>
          <w:color w:val="000000"/>
          <w:szCs w:val="24"/>
        </w:rPr>
        <w:t xml:space="preserve">A </w:t>
      </w:r>
      <w:r w:rsidRPr="00C44952">
        <w:rPr>
          <w:rFonts w:eastAsia="Calibri" w:cs="Helvetica-Light"/>
          <w:color w:val="000000"/>
          <w:szCs w:val="24"/>
        </w:rPr>
        <w:t>summary of the proposed funding of the 2020/21 capital delivery programme and the revenue implications of the increased use of prudential borrowing.</w:t>
      </w:r>
    </w:p>
    <w:p w14:paraId="51077E22" w14:textId="77777777" w:rsidR="00EF055A" w:rsidRPr="00902E41" w:rsidRDefault="00EF055A" w:rsidP="00EF055A">
      <w:pPr>
        <w:numPr>
          <w:ilvl w:val="0"/>
          <w:numId w:val="7"/>
        </w:numPr>
        <w:autoSpaceDE w:val="0"/>
        <w:autoSpaceDN w:val="0"/>
        <w:adjustRightInd w:val="0"/>
        <w:spacing w:after="0"/>
        <w:ind w:left="284" w:hanging="284"/>
        <w:jc w:val="both"/>
        <w:rPr>
          <w:rFonts w:eastAsia="Calibri" w:cs="Helvetica-Light"/>
          <w:color w:val="000000"/>
          <w:szCs w:val="24"/>
        </w:rPr>
      </w:pPr>
      <w:r w:rsidRPr="00902E41">
        <w:rPr>
          <w:rFonts w:eastAsia="Calibri" w:cs="Helvetica-Light"/>
          <w:color w:val="000000"/>
          <w:szCs w:val="24"/>
        </w:rPr>
        <w:t>An indicative capital delivery programme for the 2 further years 2021/22 and 2022/23</w:t>
      </w:r>
    </w:p>
    <w:p w14:paraId="277EC933" w14:textId="77777777" w:rsidR="00EF055A" w:rsidRPr="00902E41" w:rsidRDefault="00EF055A" w:rsidP="00EF055A">
      <w:pPr>
        <w:tabs>
          <w:tab w:val="left" w:pos="851"/>
          <w:tab w:val="left" w:pos="1418"/>
          <w:tab w:val="left" w:pos="1985"/>
          <w:tab w:val="left" w:pos="2268"/>
        </w:tabs>
        <w:autoSpaceDE w:val="0"/>
        <w:autoSpaceDN w:val="0"/>
        <w:adjustRightInd w:val="0"/>
        <w:spacing w:after="0"/>
        <w:jc w:val="both"/>
        <w:rPr>
          <w:rFonts w:eastAsia="Calibri" w:cs="Arial"/>
          <w:color w:val="000000"/>
          <w:szCs w:val="24"/>
        </w:rPr>
      </w:pPr>
    </w:p>
    <w:p w14:paraId="45F9841E" w14:textId="77777777" w:rsidR="00EF055A" w:rsidRPr="00902E41" w:rsidRDefault="00EF055A" w:rsidP="00EF055A">
      <w:pPr>
        <w:autoSpaceDE w:val="0"/>
        <w:autoSpaceDN w:val="0"/>
        <w:adjustRightInd w:val="0"/>
        <w:spacing w:after="0"/>
        <w:contextualSpacing/>
        <w:jc w:val="both"/>
        <w:rPr>
          <w:rFonts w:eastAsia="Calibri" w:cs="Helvetica-Light"/>
          <w:i/>
          <w:color w:val="000000"/>
          <w:szCs w:val="24"/>
        </w:rPr>
      </w:pPr>
      <w:r w:rsidRPr="00902E41">
        <w:rPr>
          <w:rFonts w:eastAsia="Calibri" w:cs="Helvetica-Light"/>
          <w:i/>
          <w:color w:val="000000"/>
          <w:szCs w:val="24"/>
        </w:rPr>
        <w:t xml:space="preserve">6.1 Capital Delivery Programme for 2020/21 </w:t>
      </w:r>
    </w:p>
    <w:p w14:paraId="104E3D88" w14:textId="77777777" w:rsidR="00EF055A" w:rsidRPr="007A60AF" w:rsidRDefault="00EF055A" w:rsidP="00EF055A">
      <w:pPr>
        <w:autoSpaceDE w:val="0"/>
        <w:autoSpaceDN w:val="0"/>
        <w:adjustRightInd w:val="0"/>
        <w:spacing w:after="0"/>
        <w:jc w:val="both"/>
        <w:rPr>
          <w:rFonts w:eastAsia="Calibri" w:cs="Helvetica-Light"/>
          <w:b/>
          <w:color w:val="000000"/>
          <w:szCs w:val="24"/>
          <w:highlight w:val="yellow"/>
          <w:u w:val="single"/>
        </w:rPr>
      </w:pPr>
    </w:p>
    <w:p w14:paraId="249B3A96" w14:textId="77777777" w:rsidR="00EF055A" w:rsidRPr="00590747" w:rsidRDefault="00EF055A" w:rsidP="00EF055A">
      <w:pPr>
        <w:jc w:val="both"/>
        <w:rPr>
          <w:rFonts w:cs="Arial"/>
          <w:szCs w:val="24"/>
        </w:rPr>
      </w:pPr>
      <w:r w:rsidRPr="00590747">
        <w:rPr>
          <w:rFonts w:cs="Arial"/>
          <w:szCs w:val="24"/>
        </w:rPr>
        <w:t>Table</w:t>
      </w:r>
      <w:r>
        <w:rPr>
          <w:rFonts w:cs="Arial"/>
          <w:szCs w:val="24"/>
        </w:rPr>
        <w:t xml:space="preserve"> 9</w:t>
      </w:r>
      <w:r w:rsidRPr="00590747">
        <w:rPr>
          <w:rFonts w:cs="Arial"/>
          <w:szCs w:val="24"/>
        </w:rPr>
        <w:t xml:space="preserve"> below details a summary of the proposed capital delivery programme for 2020/21 with indicative programmes for the further two years.  </w:t>
      </w:r>
    </w:p>
    <w:p w14:paraId="72235E76" w14:textId="77777777" w:rsidR="00EF055A" w:rsidRPr="00590747" w:rsidRDefault="00EF055A" w:rsidP="00EF055A">
      <w:pPr>
        <w:jc w:val="both"/>
        <w:rPr>
          <w:rFonts w:cs="Arial"/>
          <w:szCs w:val="24"/>
        </w:rPr>
      </w:pPr>
      <w:r w:rsidRPr="00590747">
        <w:rPr>
          <w:rFonts w:cs="Arial"/>
          <w:szCs w:val="24"/>
        </w:rPr>
        <w:t xml:space="preserve">The proposals for 2020/21 include the provisions to complete works already in the programme,  those already approved for inclusion, and those identified for utilising the capital grant funding to be received in 2020/21.  </w:t>
      </w:r>
    </w:p>
    <w:p w14:paraId="51EBCA21" w14:textId="77777777" w:rsidR="00EF055A" w:rsidRDefault="00EF055A" w:rsidP="00EF055A">
      <w:pPr>
        <w:jc w:val="both"/>
        <w:rPr>
          <w:rFonts w:cs="Arial"/>
          <w:szCs w:val="24"/>
        </w:rPr>
      </w:pPr>
      <w:r w:rsidRPr="00590747">
        <w:rPr>
          <w:rFonts w:cs="Arial"/>
          <w:szCs w:val="24"/>
        </w:rPr>
        <w:t>The proposals for 2021/22 and 2022/23 are indicative based on the likely grant funding to be received and will be developed fuller through 2020/21.</w:t>
      </w:r>
    </w:p>
    <w:p w14:paraId="5DB6382A" w14:textId="77777777" w:rsidR="00EF055A" w:rsidRPr="007A60AF" w:rsidRDefault="00EF055A" w:rsidP="00EF055A">
      <w:pPr>
        <w:autoSpaceDE w:val="0"/>
        <w:autoSpaceDN w:val="0"/>
        <w:adjustRightInd w:val="0"/>
        <w:spacing w:after="0"/>
        <w:jc w:val="both"/>
        <w:rPr>
          <w:rFonts w:eastAsia="Calibri" w:cs="Helvetica-Light"/>
          <w:color w:val="000000"/>
          <w:szCs w:val="24"/>
          <w:highlight w:val="yellow"/>
        </w:rPr>
      </w:pPr>
    </w:p>
    <w:p w14:paraId="32959DD7" w14:textId="77777777" w:rsidR="00EF055A" w:rsidRPr="00902E41" w:rsidRDefault="00EF055A" w:rsidP="00EF055A">
      <w:pPr>
        <w:autoSpaceDE w:val="0"/>
        <w:autoSpaceDN w:val="0"/>
        <w:adjustRightInd w:val="0"/>
        <w:spacing w:after="0"/>
        <w:jc w:val="both"/>
        <w:rPr>
          <w:rFonts w:eastAsia="Calibri" w:cs="Helvetica-Light"/>
          <w:b/>
          <w:color w:val="000000"/>
          <w:szCs w:val="24"/>
          <w:u w:val="single"/>
        </w:rPr>
      </w:pPr>
      <w:r w:rsidRPr="00902E41">
        <w:rPr>
          <w:rFonts w:eastAsia="Calibri" w:cs="Helvetica-Light"/>
          <w:b/>
          <w:color w:val="000000"/>
          <w:szCs w:val="24"/>
          <w:u w:val="single"/>
        </w:rPr>
        <w:t xml:space="preserve">Table </w:t>
      </w:r>
      <w:r>
        <w:rPr>
          <w:rFonts w:eastAsia="Calibri" w:cs="Helvetica-Light"/>
          <w:b/>
          <w:color w:val="000000"/>
          <w:szCs w:val="24"/>
          <w:u w:val="single"/>
        </w:rPr>
        <w:t>9</w:t>
      </w:r>
    </w:p>
    <w:p w14:paraId="30D5213D" w14:textId="77777777" w:rsidR="00EF055A" w:rsidRPr="007A60AF" w:rsidRDefault="00EF055A" w:rsidP="00EF055A">
      <w:pPr>
        <w:autoSpaceDE w:val="0"/>
        <w:autoSpaceDN w:val="0"/>
        <w:adjustRightInd w:val="0"/>
        <w:spacing w:after="0"/>
        <w:jc w:val="both"/>
        <w:rPr>
          <w:rFonts w:eastAsia="Calibri" w:cs="Helvetica-Light"/>
          <w:b/>
          <w:color w:val="000000"/>
          <w:szCs w:val="24"/>
          <w:highlight w:val="yellow"/>
          <w:u w:val="single"/>
        </w:rPr>
      </w:pPr>
    </w:p>
    <w:tbl>
      <w:tblPr>
        <w:tblW w:w="6380" w:type="dxa"/>
        <w:jc w:val="center"/>
        <w:tblLook w:val="04A0" w:firstRow="1" w:lastRow="0" w:firstColumn="1" w:lastColumn="0" w:noHBand="0" w:noVBand="1"/>
      </w:tblPr>
      <w:tblGrid>
        <w:gridCol w:w="1880"/>
        <w:gridCol w:w="1500"/>
        <w:gridCol w:w="1500"/>
        <w:gridCol w:w="1500"/>
      </w:tblGrid>
      <w:tr w:rsidR="009C2438" w14:paraId="04BFFD14" w14:textId="77777777" w:rsidTr="00EF055A">
        <w:trPr>
          <w:trHeight w:val="900"/>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FCB8" w14:textId="77777777" w:rsidR="00EF055A" w:rsidRPr="00197B74" w:rsidRDefault="00EF055A" w:rsidP="00EF055A">
            <w:pPr>
              <w:autoSpaceDE w:val="0"/>
              <w:autoSpaceDN w:val="0"/>
              <w:adjustRightInd w:val="0"/>
              <w:spacing w:after="0"/>
              <w:jc w:val="both"/>
              <w:rPr>
                <w:rFonts w:eastAsia="Calibri" w:cs="Helvetica-Light"/>
                <w:color w:val="000000"/>
                <w:szCs w:val="24"/>
              </w:rPr>
            </w:pPr>
            <w:r w:rsidRPr="00197B74">
              <w:rPr>
                <w:rFonts w:eastAsia="Calibri" w:cs="Helvetica-Light"/>
                <w:color w:val="000000"/>
                <w:szCs w:val="24"/>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5B41DB4" w14:textId="77777777" w:rsidR="00EF055A" w:rsidRPr="00197B74" w:rsidRDefault="00EF055A" w:rsidP="00EF055A">
            <w:pPr>
              <w:autoSpaceDE w:val="0"/>
              <w:autoSpaceDN w:val="0"/>
              <w:adjustRightInd w:val="0"/>
              <w:spacing w:after="0"/>
              <w:jc w:val="center"/>
              <w:rPr>
                <w:rFonts w:eastAsia="Calibri" w:cs="Helvetica-Light"/>
                <w:b/>
                <w:bCs/>
                <w:color w:val="000000"/>
                <w:szCs w:val="24"/>
              </w:rPr>
            </w:pPr>
            <w:r w:rsidRPr="00197B74">
              <w:rPr>
                <w:rFonts w:eastAsia="Calibri" w:cs="Helvetica-Light"/>
                <w:b/>
                <w:bCs/>
                <w:color w:val="000000"/>
                <w:szCs w:val="24"/>
              </w:rPr>
              <w:t>2020/21 delivery budget</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9E4236F" w14:textId="77777777" w:rsidR="00EF055A" w:rsidRPr="00197B74" w:rsidRDefault="00EF055A" w:rsidP="00EF055A">
            <w:pPr>
              <w:autoSpaceDE w:val="0"/>
              <w:autoSpaceDN w:val="0"/>
              <w:adjustRightInd w:val="0"/>
              <w:spacing w:after="0"/>
              <w:jc w:val="center"/>
              <w:rPr>
                <w:rFonts w:eastAsia="Calibri" w:cs="Helvetica-Light"/>
                <w:b/>
                <w:bCs/>
                <w:color w:val="000000"/>
                <w:szCs w:val="24"/>
              </w:rPr>
            </w:pPr>
            <w:r w:rsidRPr="00197B74">
              <w:rPr>
                <w:rFonts w:eastAsia="Calibri" w:cs="Helvetica-Light"/>
                <w:b/>
                <w:bCs/>
                <w:color w:val="000000"/>
                <w:szCs w:val="24"/>
              </w:rPr>
              <w:t>2021/22 delivery budget</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0303722" w14:textId="77777777" w:rsidR="00EF055A" w:rsidRPr="00197B74" w:rsidRDefault="00EF055A" w:rsidP="00EF055A">
            <w:pPr>
              <w:autoSpaceDE w:val="0"/>
              <w:autoSpaceDN w:val="0"/>
              <w:adjustRightInd w:val="0"/>
              <w:spacing w:after="0"/>
              <w:jc w:val="center"/>
              <w:rPr>
                <w:rFonts w:eastAsia="Calibri" w:cs="Helvetica-Light"/>
                <w:b/>
                <w:bCs/>
                <w:color w:val="000000"/>
                <w:szCs w:val="24"/>
              </w:rPr>
            </w:pPr>
            <w:r w:rsidRPr="00197B74">
              <w:rPr>
                <w:rFonts w:eastAsia="Calibri" w:cs="Helvetica-Light"/>
                <w:b/>
                <w:bCs/>
                <w:color w:val="000000"/>
                <w:szCs w:val="24"/>
              </w:rPr>
              <w:t>2022/23 delivery budget</w:t>
            </w:r>
          </w:p>
        </w:tc>
      </w:tr>
      <w:tr w:rsidR="009C2438" w14:paraId="58D8D25D" w14:textId="77777777" w:rsidTr="00EF055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45CA721" w14:textId="77777777" w:rsidR="00EF055A" w:rsidRPr="00197B74" w:rsidRDefault="00EF055A" w:rsidP="00EF055A">
            <w:pPr>
              <w:autoSpaceDE w:val="0"/>
              <w:autoSpaceDN w:val="0"/>
              <w:adjustRightInd w:val="0"/>
              <w:spacing w:after="0"/>
              <w:jc w:val="both"/>
              <w:rPr>
                <w:rFonts w:eastAsia="Calibri" w:cs="Helvetica-Light"/>
                <w:color w:val="000000"/>
                <w:szCs w:val="24"/>
              </w:rPr>
            </w:pPr>
            <w:r w:rsidRPr="00197B74">
              <w:rPr>
                <w:rFonts w:eastAsia="Calibri" w:cs="Helvetica-Light"/>
                <w:color w:val="000000"/>
                <w:szCs w:val="24"/>
              </w:rPr>
              <w:t> </w:t>
            </w:r>
          </w:p>
        </w:tc>
        <w:tc>
          <w:tcPr>
            <w:tcW w:w="1500" w:type="dxa"/>
            <w:tcBorders>
              <w:top w:val="nil"/>
              <w:left w:val="nil"/>
              <w:bottom w:val="single" w:sz="4" w:space="0" w:color="auto"/>
              <w:right w:val="single" w:sz="4" w:space="0" w:color="auto"/>
            </w:tcBorders>
            <w:shd w:val="clear" w:color="auto" w:fill="auto"/>
            <w:vAlign w:val="center"/>
            <w:hideMark/>
          </w:tcPr>
          <w:p w14:paraId="0184860B" w14:textId="77777777" w:rsidR="00EF055A" w:rsidRPr="00197B74" w:rsidRDefault="00EF055A" w:rsidP="00EF055A">
            <w:pPr>
              <w:autoSpaceDE w:val="0"/>
              <w:autoSpaceDN w:val="0"/>
              <w:adjustRightInd w:val="0"/>
              <w:spacing w:after="0"/>
              <w:jc w:val="center"/>
              <w:rPr>
                <w:rFonts w:eastAsia="Calibri" w:cs="Helvetica-Light"/>
                <w:b/>
                <w:bCs/>
                <w:color w:val="000000"/>
                <w:szCs w:val="24"/>
              </w:rPr>
            </w:pPr>
            <w:r w:rsidRPr="00197B74">
              <w:rPr>
                <w:rFonts w:eastAsia="Calibri" w:cs="Helvetica-Light"/>
                <w:b/>
                <w:bCs/>
                <w:color w:val="000000"/>
                <w:szCs w:val="24"/>
              </w:rPr>
              <w:t>£m</w:t>
            </w:r>
          </w:p>
        </w:tc>
        <w:tc>
          <w:tcPr>
            <w:tcW w:w="1500" w:type="dxa"/>
            <w:tcBorders>
              <w:top w:val="nil"/>
              <w:left w:val="nil"/>
              <w:bottom w:val="single" w:sz="4" w:space="0" w:color="auto"/>
              <w:right w:val="single" w:sz="4" w:space="0" w:color="auto"/>
            </w:tcBorders>
            <w:shd w:val="clear" w:color="auto" w:fill="auto"/>
            <w:vAlign w:val="center"/>
            <w:hideMark/>
          </w:tcPr>
          <w:p w14:paraId="5416FA6F" w14:textId="77777777" w:rsidR="00EF055A" w:rsidRPr="00197B74" w:rsidRDefault="00EF055A" w:rsidP="00EF055A">
            <w:pPr>
              <w:autoSpaceDE w:val="0"/>
              <w:autoSpaceDN w:val="0"/>
              <w:adjustRightInd w:val="0"/>
              <w:spacing w:after="0"/>
              <w:jc w:val="center"/>
              <w:rPr>
                <w:rFonts w:eastAsia="Calibri" w:cs="Helvetica-Light"/>
                <w:b/>
                <w:bCs/>
                <w:color w:val="000000"/>
                <w:szCs w:val="24"/>
              </w:rPr>
            </w:pPr>
            <w:r w:rsidRPr="00197B74">
              <w:rPr>
                <w:rFonts w:eastAsia="Calibri" w:cs="Helvetica-Light"/>
                <w:b/>
                <w:bCs/>
                <w:color w:val="000000"/>
                <w:szCs w:val="24"/>
              </w:rPr>
              <w:t>£m</w:t>
            </w:r>
          </w:p>
        </w:tc>
        <w:tc>
          <w:tcPr>
            <w:tcW w:w="1500" w:type="dxa"/>
            <w:tcBorders>
              <w:top w:val="nil"/>
              <w:left w:val="nil"/>
              <w:bottom w:val="single" w:sz="4" w:space="0" w:color="auto"/>
              <w:right w:val="single" w:sz="4" w:space="0" w:color="auto"/>
            </w:tcBorders>
            <w:shd w:val="clear" w:color="auto" w:fill="auto"/>
            <w:vAlign w:val="center"/>
            <w:hideMark/>
          </w:tcPr>
          <w:p w14:paraId="10925523" w14:textId="77777777" w:rsidR="00EF055A" w:rsidRPr="00197B74" w:rsidRDefault="00EF055A" w:rsidP="00EF055A">
            <w:pPr>
              <w:autoSpaceDE w:val="0"/>
              <w:autoSpaceDN w:val="0"/>
              <w:adjustRightInd w:val="0"/>
              <w:spacing w:after="0"/>
              <w:jc w:val="center"/>
              <w:rPr>
                <w:rFonts w:eastAsia="Calibri" w:cs="Helvetica-Light"/>
                <w:b/>
                <w:bCs/>
                <w:color w:val="000000"/>
                <w:szCs w:val="24"/>
              </w:rPr>
            </w:pPr>
            <w:r w:rsidRPr="00197B74">
              <w:rPr>
                <w:rFonts w:eastAsia="Calibri" w:cs="Helvetica-Light"/>
                <w:b/>
                <w:bCs/>
                <w:color w:val="000000"/>
                <w:szCs w:val="24"/>
              </w:rPr>
              <w:t>£m</w:t>
            </w:r>
          </w:p>
        </w:tc>
      </w:tr>
      <w:tr w:rsidR="009C2438" w14:paraId="391B7545" w14:textId="77777777" w:rsidTr="00EF055A">
        <w:trPr>
          <w:trHeight w:val="300"/>
          <w:jc w:val="center"/>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14:paraId="110B31E6" w14:textId="77777777" w:rsidR="00EF055A" w:rsidRPr="00197B74" w:rsidRDefault="00EF055A" w:rsidP="00EF055A">
            <w:pPr>
              <w:autoSpaceDE w:val="0"/>
              <w:autoSpaceDN w:val="0"/>
              <w:adjustRightInd w:val="0"/>
              <w:spacing w:after="0"/>
              <w:rPr>
                <w:rFonts w:eastAsia="Calibri" w:cs="Helvetica-Light"/>
                <w:color w:val="000000"/>
                <w:szCs w:val="24"/>
              </w:rPr>
            </w:pPr>
            <w:r w:rsidRPr="00197B74">
              <w:rPr>
                <w:rFonts w:eastAsia="Calibri" w:cs="Helvetica-Light"/>
                <w:color w:val="000000"/>
                <w:szCs w:val="24"/>
              </w:rPr>
              <w:t>Schools</w:t>
            </w:r>
          </w:p>
        </w:tc>
        <w:tc>
          <w:tcPr>
            <w:tcW w:w="1500" w:type="dxa"/>
            <w:tcBorders>
              <w:top w:val="nil"/>
              <w:left w:val="nil"/>
              <w:bottom w:val="single" w:sz="4" w:space="0" w:color="auto"/>
              <w:right w:val="single" w:sz="4" w:space="0" w:color="auto"/>
            </w:tcBorders>
            <w:shd w:val="clear" w:color="auto" w:fill="auto"/>
            <w:noWrap/>
            <w:vAlign w:val="bottom"/>
            <w:hideMark/>
          </w:tcPr>
          <w:p w14:paraId="7585FE8C"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27.089</w:t>
            </w:r>
          </w:p>
        </w:tc>
        <w:tc>
          <w:tcPr>
            <w:tcW w:w="1500" w:type="dxa"/>
            <w:tcBorders>
              <w:top w:val="nil"/>
              <w:left w:val="nil"/>
              <w:bottom w:val="single" w:sz="4" w:space="0" w:color="auto"/>
              <w:right w:val="single" w:sz="4" w:space="0" w:color="auto"/>
            </w:tcBorders>
            <w:shd w:val="clear" w:color="auto" w:fill="auto"/>
            <w:noWrap/>
            <w:vAlign w:val="bottom"/>
            <w:hideMark/>
          </w:tcPr>
          <w:p w14:paraId="30833154"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36.791</w:t>
            </w:r>
          </w:p>
        </w:tc>
        <w:tc>
          <w:tcPr>
            <w:tcW w:w="1500" w:type="dxa"/>
            <w:tcBorders>
              <w:top w:val="nil"/>
              <w:left w:val="nil"/>
              <w:bottom w:val="single" w:sz="4" w:space="0" w:color="auto"/>
              <w:right w:val="single" w:sz="4" w:space="0" w:color="auto"/>
            </w:tcBorders>
            <w:shd w:val="clear" w:color="auto" w:fill="auto"/>
            <w:noWrap/>
            <w:vAlign w:val="bottom"/>
            <w:hideMark/>
          </w:tcPr>
          <w:p w14:paraId="34082FB8"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24.201</w:t>
            </w:r>
          </w:p>
        </w:tc>
      </w:tr>
      <w:tr w:rsidR="009C2438" w14:paraId="328E2DCE" w14:textId="77777777" w:rsidTr="00EF055A">
        <w:trPr>
          <w:trHeight w:val="300"/>
          <w:jc w:val="center"/>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14:paraId="6D6EA038" w14:textId="77777777" w:rsidR="00EF055A" w:rsidRPr="00197B74" w:rsidRDefault="00EF055A" w:rsidP="00EF055A">
            <w:pPr>
              <w:autoSpaceDE w:val="0"/>
              <w:autoSpaceDN w:val="0"/>
              <w:adjustRightInd w:val="0"/>
              <w:spacing w:after="0"/>
              <w:rPr>
                <w:rFonts w:eastAsia="Calibri" w:cs="Helvetica-Light"/>
                <w:color w:val="000000"/>
                <w:szCs w:val="24"/>
              </w:rPr>
            </w:pPr>
            <w:r w:rsidRPr="00197B74">
              <w:rPr>
                <w:rFonts w:eastAsia="Calibri" w:cs="Helvetica-Light"/>
                <w:color w:val="000000"/>
                <w:szCs w:val="24"/>
              </w:rPr>
              <w:t>CYP</w:t>
            </w:r>
          </w:p>
        </w:tc>
        <w:tc>
          <w:tcPr>
            <w:tcW w:w="1500" w:type="dxa"/>
            <w:tcBorders>
              <w:top w:val="nil"/>
              <w:left w:val="nil"/>
              <w:bottom w:val="single" w:sz="4" w:space="0" w:color="auto"/>
              <w:right w:val="single" w:sz="4" w:space="0" w:color="auto"/>
            </w:tcBorders>
            <w:shd w:val="clear" w:color="auto" w:fill="auto"/>
            <w:noWrap/>
            <w:vAlign w:val="bottom"/>
            <w:hideMark/>
          </w:tcPr>
          <w:p w14:paraId="48058179"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4.382</w:t>
            </w:r>
          </w:p>
        </w:tc>
        <w:tc>
          <w:tcPr>
            <w:tcW w:w="1500" w:type="dxa"/>
            <w:tcBorders>
              <w:top w:val="nil"/>
              <w:left w:val="nil"/>
              <w:bottom w:val="single" w:sz="4" w:space="0" w:color="auto"/>
              <w:right w:val="single" w:sz="4" w:space="0" w:color="auto"/>
            </w:tcBorders>
            <w:shd w:val="clear" w:color="auto" w:fill="auto"/>
            <w:noWrap/>
            <w:vAlign w:val="bottom"/>
            <w:hideMark/>
          </w:tcPr>
          <w:p w14:paraId="1644E5FC"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0.000</w:t>
            </w:r>
          </w:p>
        </w:tc>
        <w:tc>
          <w:tcPr>
            <w:tcW w:w="1500" w:type="dxa"/>
            <w:tcBorders>
              <w:top w:val="nil"/>
              <w:left w:val="nil"/>
              <w:bottom w:val="single" w:sz="4" w:space="0" w:color="auto"/>
              <w:right w:val="single" w:sz="4" w:space="0" w:color="auto"/>
            </w:tcBorders>
            <w:shd w:val="clear" w:color="auto" w:fill="auto"/>
            <w:noWrap/>
            <w:vAlign w:val="bottom"/>
            <w:hideMark/>
          </w:tcPr>
          <w:p w14:paraId="6C37C504"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0.000</w:t>
            </w:r>
          </w:p>
        </w:tc>
      </w:tr>
      <w:tr w:rsidR="009C2438" w14:paraId="1FE4A3FA" w14:textId="77777777" w:rsidTr="00EF055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37FFB59" w14:textId="77777777" w:rsidR="00EF055A" w:rsidRPr="00197B74" w:rsidRDefault="00EF055A" w:rsidP="00EF055A">
            <w:pPr>
              <w:autoSpaceDE w:val="0"/>
              <w:autoSpaceDN w:val="0"/>
              <w:adjustRightInd w:val="0"/>
              <w:spacing w:after="0"/>
              <w:rPr>
                <w:rFonts w:eastAsia="Calibri" w:cs="Helvetica-Light"/>
                <w:color w:val="000000"/>
                <w:szCs w:val="24"/>
              </w:rPr>
            </w:pPr>
            <w:r w:rsidRPr="00197B74">
              <w:rPr>
                <w:rFonts w:eastAsia="Calibri" w:cs="Helvetica-Light"/>
                <w:color w:val="000000"/>
                <w:szCs w:val="24"/>
              </w:rPr>
              <w:t>Highways</w:t>
            </w:r>
          </w:p>
        </w:tc>
        <w:tc>
          <w:tcPr>
            <w:tcW w:w="1500" w:type="dxa"/>
            <w:tcBorders>
              <w:top w:val="nil"/>
              <w:left w:val="nil"/>
              <w:bottom w:val="single" w:sz="4" w:space="0" w:color="auto"/>
              <w:right w:val="single" w:sz="4" w:space="0" w:color="auto"/>
            </w:tcBorders>
            <w:shd w:val="clear" w:color="auto" w:fill="auto"/>
            <w:noWrap/>
            <w:vAlign w:val="bottom"/>
            <w:hideMark/>
          </w:tcPr>
          <w:p w14:paraId="2FDA520F"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40.121</w:t>
            </w:r>
          </w:p>
        </w:tc>
        <w:tc>
          <w:tcPr>
            <w:tcW w:w="1500" w:type="dxa"/>
            <w:tcBorders>
              <w:top w:val="nil"/>
              <w:left w:val="nil"/>
              <w:bottom w:val="single" w:sz="4" w:space="0" w:color="auto"/>
              <w:right w:val="single" w:sz="4" w:space="0" w:color="auto"/>
            </w:tcBorders>
            <w:shd w:val="clear" w:color="auto" w:fill="auto"/>
            <w:noWrap/>
            <w:vAlign w:val="bottom"/>
            <w:hideMark/>
          </w:tcPr>
          <w:p w14:paraId="658AE349"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3.455</w:t>
            </w:r>
          </w:p>
        </w:tc>
        <w:tc>
          <w:tcPr>
            <w:tcW w:w="1500" w:type="dxa"/>
            <w:tcBorders>
              <w:top w:val="nil"/>
              <w:left w:val="nil"/>
              <w:bottom w:val="single" w:sz="4" w:space="0" w:color="auto"/>
              <w:right w:val="single" w:sz="4" w:space="0" w:color="auto"/>
            </w:tcBorders>
            <w:shd w:val="clear" w:color="auto" w:fill="auto"/>
            <w:noWrap/>
            <w:vAlign w:val="bottom"/>
            <w:hideMark/>
          </w:tcPr>
          <w:p w14:paraId="1C3E5F8F"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3.455</w:t>
            </w:r>
          </w:p>
        </w:tc>
      </w:tr>
      <w:tr w:rsidR="009C2438" w14:paraId="0978A87B" w14:textId="77777777" w:rsidTr="00EF055A">
        <w:trPr>
          <w:trHeight w:val="300"/>
          <w:jc w:val="center"/>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14:paraId="21737C0C" w14:textId="77777777" w:rsidR="00EF055A" w:rsidRPr="00197B74" w:rsidRDefault="00EF055A" w:rsidP="00EF055A">
            <w:pPr>
              <w:autoSpaceDE w:val="0"/>
              <w:autoSpaceDN w:val="0"/>
              <w:adjustRightInd w:val="0"/>
              <w:spacing w:after="0"/>
              <w:rPr>
                <w:rFonts w:eastAsia="Calibri" w:cs="Helvetica-Light"/>
                <w:color w:val="000000"/>
                <w:szCs w:val="24"/>
              </w:rPr>
            </w:pPr>
            <w:r w:rsidRPr="00197B74">
              <w:rPr>
                <w:rFonts w:eastAsia="Calibri" w:cs="Helvetica-Light"/>
                <w:color w:val="000000"/>
                <w:szCs w:val="24"/>
              </w:rPr>
              <w:t>Transport</w:t>
            </w:r>
          </w:p>
        </w:tc>
        <w:tc>
          <w:tcPr>
            <w:tcW w:w="1500" w:type="dxa"/>
            <w:tcBorders>
              <w:top w:val="nil"/>
              <w:left w:val="nil"/>
              <w:bottom w:val="single" w:sz="4" w:space="0" w:color="auto"/>
              <w:right w:val="single" w:sz="4" w:space="0" w:color="auto"/>
            </w:tcBorders>
            <w:shd w:val="clear" w:color="auto" w:fill="auto"/>
            <w:noWrap/>
            <w:vAlign w:val="bottom"/>
            <w:hideMark/>
          </w:tcPr>
          <w:p w14:paraId="666AA41C"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15.302</w:t>
            </w:r>
          </w:p>
        </w:tc>
        <w:tc>
          <w:tcPr>
            <w:tcW w:w="1500" w:type="dxa"/>
            <w:tcBorders>
              <w:top w:val="nil"/>
              <w:left w:val="nil"/>
              <w:bottom w:val="single" w:sz="4" w:space="0" w:color="auto"/>
              <w:right w:val="single" w:sz="4" w:space="0" w:color="auto"/>
            </w:tcBorders>
            <w:shd w:val="clear" w:color="auto" w:fill="auto"/>
            <w:noWrap/>
            <w:vAlign w:val="bottom"/>
            <w:hideMark/>
          </w:tcPr>
          <w:p w14:paraId="2426B884"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10.053</w:t>
            </w:r>
          </w:p>
        </w:tc>
        <w:tc>
          <w:tcPr>
            <w:tcW w:w="1500" w:type="dxa"/>
            <w:tcBorders>
              <w:top w:val="nil"/>
              <w:left w:val="nil"/>
              <w:bottom w:val="single" w:sz="4" w:space="0" w:color="auto"/>
              <w:right w:val="single" w:sz="4" w:space="0" w:color="auto"/>
            </w:tcBorders>
            <w:shd w:val="clear" w:color="auto" w:fill="auto"/>
            <w:noWrap/>
            <w:vAlign w:val="bottom"/>
            <w:hideMark/>
          </w:tcPr>
          <w:p w14:paraId="7C815A78"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0.000</w:t>
            </w:r>
          </w:p>
        </w:tc>
      </w:tr>
      <w:tr w:rsidR="009C2438" w14:paraId="7691D028" w14:textId="77777777" w:rsidTr="00EF055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4E425F6" w14:textId="77777777" w:rsidR="00EF055A" w:rsidRPr="00197B74" w:rsidRDefault="00EF055A" w:rsidP="00EF055A">
            <w:pPr>
              <w:autoSpaceDE w:val="0"/>
              <w:autoSpaceDN w:val="0"/>
              <w:adjustRightInd w:val="0"/>
              <w:spacing w:after="0"/>
              <w:rPr>
                <w:rFonts w:eastAsia="Calibri" w:cs="Helvetica-Light"/>
                <w:color w:val="000000"/>
                <w:szCs w:val="24"/>
              </w:rPr>
            </w:pPr>
            <w:r w:rsidRPr="00197B74">
              <w:rPr>
                <w:rFonts w:eastAsia="Calibri" w:cs="Helvetica-Light"/>
                <w:color w:val="000000"/>
                <w:szCs w:val="24"/>
              </w:rPr>
              <w:t>Externally Funded</w:t>
            </w:r>
          </w:p>
        </w:tc>
        <w:tc>
          <w:tcPr>
            <w:tcW w:w="1500" w:type="dxa"/>
            <w:tcBorders>
              <w:top w:val="nil"/>
              <w:left w:val="nil"/>
              <w:bottom w:val="single" w:sz="4" w:space="0" w:color="auto"/>
              <w:right w:val="single" w:sz="4" w:space="0" w:color="auto"/>
            </w:tcBorders>
            <w:shd w:val="clear" w:color="auto" w:fill="auto"/>
            <w:noWrap/>
            <w:vAlign w:val="bottom"/>
            <w:hideMark/>
          </w:tcPr>
          <w:p w14:paraId="6F913FCE"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6.574</w:t>
            </w:r>
          </w:p>
        </w:tc>
        <w:tc>
          <w:tcPr>
            <w:tcW w:w="1500" w:type="dxa"/>
            <w:tcBorders>
              <w:top w:val="nil"/>
              <w:left w:val="nil"/>
              <w:bottom w:val="single" w:sz="4" w:space="0" w:color="auto"/>
              <w:right w:val="single" w:sz="4" w:space="0" w:color="auto"/>
            </w:tcBorders>
            <w:shd w:val="clear" w:color="auto" w:fill="auto"/>
            <w:noWrap/>
            <w:vAlign w:val="bottom"/>
            <w:hideMark/>
          </w:tcPr>
          <w:p w14:paraId="3249C257"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1.471</w:t>
            </w:r>
          </w:p>
        </w:tc>
        <w:tc>
          <w:tcPr>
            <w:tcW w:w="1500" w:type="dxa"/>
            <w:tcBorders>
              <w:top w:val="nil"/>
              <w:left w:val="nil"/>
              <w:bottom w:val="single" w:sz="4" w:space="0" w:color="auto"/>
              <w:right w:val="single" w:sz="4" w:space="0" w:color="auto"/>
            </w:tcBorders>
            <w:shd w:val="clear" w:color="auto" w:fill="auto"/>
            <w:noWrap/>
            <w:vAlign w:val="bottom"/>
            <w:hideMark/>
          </w:tcPr>
          <w:p w14:paraId="52B14ADD"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1.456</w:t>
            </w:r>
          </w:p>
        </w:tc>
      </w:tr>
      <w:tr w:rsidR="009C2438" w14:paraId="067DF248" w14:textId="77777777" w:rsidTr="00EF055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2EB807F" w14:textId="77777777" w:rsidR="00EF055A" w:rsidRPr="00197B74" w:rsidRDefault="00EF055A" w:rsidP="00EF055A">
            <w:pPr>
              <w:autoSpaceDE w:val="0"/>
              <w:autoSpaceDN w:val="0"/>
              <w:adjustRightInd w:val="0"/>
              <w:spacing w:after="0"/>
              <w:rPr>
                <w:rFonts w:eastAsia="Calibri" w:cs="Helvetica-Light"/>
                <w:color w:val="000000"/>
                <w:szCs w:val="24"/>
              </w:rPr>
            </w:pPr>
            <w:r w:rsidRPr="00197B74">
              <w:rPr>
                <w:rFonts w:eastAsia="Calibri" w:cs="Helvetica-Light"/>
                <w:color w:val="000000"/>
                <w:szCs w:val="24"/>
              </w:rPr>
              <w:t>Waste and Other</w:t>
            </w:r>
          </w:p>
        </w:tc>
        <w:tc>
          <w:tcPr>
            <w:tcW w:w="1500" w:type="dxa"/>
            <w:tcBorders>
              <w:top w:val="nil"/>
              <w:left w:val="nil"/>
              <w:bottom w:val="single" w:sz="4" w:space="0" w:color="auto"/>
              <w:right w:val="single" w:sz="4" w:space="0" w:color="auto"/>
            </w:tcBorders>
            <w:shd w:val="clear" w:color="auto" w:fill="auto"/>
            <w:noWrap/>
            <w:vAlign w:val="bottom"/>
            <w:hideMark/>
          </w:tcPr>
          <w:p w14:paraId="2FAD6C9E"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0.000</w:t>
            </w:r>
          </w:p>
        </w:tc>
        <w:tc>
          <w:tcPr>
            <w:tcW w:w="1500" w:type="dxa"/>
            <w:tcBorders>
              <w:top w:val="nil"/>
              <w:left w:val="nil"/>
              <w:bottom w:val="single" w:sz="4" w:space="0" w:color="auto"/>
              <w:right w:val="single" w:sz="4" w:space="0" w:color="auto"/>
            </w:tcBorders>
            <w:shd w:val="clear" w:color="auto" w:fill="auto"/>
            <w:noWrap/>
            <w:vAlign w:val="bottom"/>
            <w:hideMark/>
          </w:tcPr>
          <w:p w14:paraId="2B2CB321"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0.000</w:t>
            </w:r>
          </w:p>
        </w:tc>
        <w:tc>
          <w:tcPr>
            <w:tcW w:w="1500" w:type="dxa"/>
            <w:tcBorders>
              <w:top w:val="nil"/>
              <w:left w:val="nil"/>
              <w:bottom w:val="single" w:sz="4" w:space="0" w:color="auto"/>
              <w:right w:val="single" w:sz="4" w:space="0" w:color="auto"/>
            </w:tcBorders>
            <w:shd w:val="clear" w:color="auto" w:fill="auto"/>
            <w:noWrap/>
            <w:vAlign w:val="bottom"/>
            <w:hideMark/>
          </w:tcPr>
          <w:p w14:paraId="6CE0C8A2"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0.000</w:t>
            </w:r>
          </w:p>
        </w:tc>
      </w:tr>
      <w:tr w:rsidR="009C2438" w14:paraId="1B7378AF" w14:textId="77777777" w:rsidTr="00EF055A">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28C45859" w14:textId="77777777" w:rsidR="00EF055A" w:rsidRPr="00197B74" w:rsidRDefault="00EF055A" w:rsidP="00EF055A">
            <w:pPr>
              <w:autoSpaceDE w:val="0"/>
              <w:autoSpaceDN w:val="0"/>
              <w:adjustRightInd w:val="0"/>
              <w:spacing w:after="0"/>
              <w:rPr>
                <w:rFonts w:eastAsia="Calibri" w:cs="Helvetica-Light"/>
                <w:color w:val="000000"/>
                <w:szCs w:val="24"/>
              </w:rPr>
            </w:pPr>
            <w:r w:rsidRPr="00197B74">
              <w:rPr>
                <w:rFonts w:eastAsia="Calibri" w:cs="Helvetica-Light"/>
                <w:color w:val="000000"/>
                <w:szCs w:val="24"/>
              </w:rPr>
              <w:t>Adults</w:t>
            </w:r>
          </w:p>
        </w:tc>
        <w:tc>
          <w:tcPr>
            <w:tcW w:w="1500" w:type="dxa"/>
            <w:tcBorders>
              <w:top w:val="nil"/>
              <w:left w:val="nil"/>
              <w:bottom w:val="single" w:sz="4" w:space="0" w:color="auto"/>
              <w:right w:val="single" w:sz="4" w:space="0" w:color="auto"/>
            </w:tcBorders>
            <w:shd w:val="clear" w:color="auto" w:fill="auto"/>
            <w:noWrap/>
            <w:vAlign w:val="bottom"/>
            <w:hideMark/>
          </w:tcPr>
          <w:p w14:paraId="0F7E1DE9"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16.231</w:t>
            </w:r>
          </w:p>
        </w:tc>
        <w:tc>
          <w:tcPr>
            <w:tcW w:w="1500" w:type="dxa"/>
            <w:tcBorders>
              <w:top w:val="nil"/>
              <w:left w:val="nil"/>
              <w:bottom w:val="single" w:sz="4" w:space="0" w:color="auto"/>
              <w:right w:val="single" w:sz="4" w:space="0" w:color="auto"/>
            </w:tcBorders>
            <w:shd w:val="clear" w:color="auto" w:fill="auto"/>
            <w:noWrap/>
            <w:vAlign w:val="bottom"/>
            <w:hideMark/>
          </w:tcPr>
          <w:p w14:paraId="744E235F"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14.731</w:t>
            </w:r>
          </w:p>
        </w:tc>
        <w:tc>
          <w:tcPr>
            <w:tcW w:w="1500" w:type="dxa"/>
            <w:tcBorders>
              <w:top w:val="nil"/>
              <w:left w:val="nil"/>
              <w:bottom w:val="single" w:sz="4" w:space="0" w:color="auto"/>
              <w:right w:val="single" w:sz="4" w:space="0" w:color="auto"/>
            </w:tcBorders>
            <w:shd w:val="clear" w:color="auto" w:fill="auto"/>
            <w:noWrap/>
            <w:vAlign w:val="bottom"/>
            <w:hideMark/>
          </w:tcPr>
          <w:p w14:paraId="74AFE866"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14.731</w:t>
            </w:r>
          </w:p>
        </w:tc>
      </w:tr>
      <w:tr w:rsidR="009C2438" w14:paraId="667D0529" w14:textId="77777777" w:rsidTr="00EF055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7E98D25" w14:textId="77777777" w:rsidR="00EF055A" w:rsidRPr="00197B74" w:rsidRDefault="00EF055A" w:rsidP="00EF055A">
            <w:pPr>
              <w:autoSpaceDE w:val="0"/>
              <w:autoSpaceDN w:val="0"/>
              <w:adjustRightInd w:val="0"/>
              <w:spacing w:after="0"/>
              <w:rPr>
                <w:rFonts w:eastAsia="Calibri" w:cs="Helvetica-Light"/>
                <w:color w:val="000000"/>
                <w:szCs w:val="24"/>
              </w:rPr>
            </w:pPr>
            <w:r w:rsidRPr="00197B74">
              <w:rPr>
                <w:rFonts w:eastAsia="Calibri" w:cs="Helvetica-Light"/>
                <w:color w:val="000000"/>
                <w:szCs w:val="24"/>
              </w:rPr>
              <w:t>Corporate</w:t>
            </w:r>
          </w:p>
        </w:tc>
        <w:tc>
          <w:tcPr>
            <w:tcW w:w="1500" w:type="dxa"/>
            <w:tcBorders>
              <w:top w:val="nil"/>
              <w:left w:val="nil"/>
              <w:bottom w:val="single" w:sz="4" w:space="0" w:color="auto"/>
              <w:right w:val="single" w:sz="4" w:space="0" w:color="auto"/>
            </w:tcBorders>
            <w:shd w:val="clear" w:color="auto" w:fill="auto"/>
            <w:noWrap/>
            <w:vAlign w:val="bottom"/>
            <w:hideMark/>
          </w:tcPr>
          <w:p w14:paraId="15D8876E"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19.243</w:t>
            </w:r>
          </w:p>
        </w:tc>
        <w:tc>
          <w:tcPr>
            <w:tcW w:w="1500" w:type="dxa"/>
            <w:tcBorders>
              <w:top w:val="nil"/>
              <w:left w:val="nil"/>
              <w:bottom w:val="single" w:sz="4" w:space="0" w:color="auto"/>
              <w:right w:val="single" w:sz="4" w:space="0" w:color="auto"/>
            </w:tcBorders>
            <w:shd w:val="clear" w:color="auto" w:fill="auto"/>
            <w:noWrap/>
            <w:vAlign w:val="bottom"/>
            <w:hideMark/>
          </w:tcPr>
          <w:p w14:paraId="2ED04946"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29.000</w:t>
            </w:r>
          </w:p>
        </w:tc>
        <w:tc>
          <w:tcPr>
            <w:tcW w:w="1500" w:type="dxa"/>
            <w:tcBorders>
              <w:top w:val="nil"/>
              <w:left w:val="nil"/>
              <w:bottom w:val="single" w:sz="4" w:space="0" w:color="auto"/>
              <w:right w:val="single" w:sz="4" w:space="0" w:color="auto"/>
            </w:tcBorders>
            <w:shd w:val="clear" w:color="auto" w:fill="auto"/>
            <w:noWrap/>
            <w:vAlign w:val="bottom"/>
            <w:hideMark/>
          </w:tcPr>
          <w:p w14:paraId="0797D2C2"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6.000</w:t>
            </w:r>
          </w:p>
        </w:tc>
      </w:tr>
      <w:tr w:rsidR="009C2438" w14:paraId="292D475F" w14:textId="77777777" w:rsidTr="00EF055A">
        <w:trPr>
          <w:trHeight w:val="300"/>
          <w:jc w:val="center"/>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14:paraId="653BE7EF" w14:textId="77777777" w:rsidR="00EF055A" w:rsidRPr="00197B74" w:rsidRDefault="00EF055A" w:rsidP="00EF055A">
            <w:pPr>
              <w:autoSpaceDE w:val="0"/>
              <w:autoSpaceDN w:val="0"/>
              <w:adjustRightInd w:val="0"/>
              <w:spacing w:after="0"/>
              <w:rPr>
                <w:rFonts w:eastAsia="Calibri" w:cs="Helvetica-Light"/>
                <w:color w:val="000000"/>
                <w:szCs w:val="24"/>
              </w:rPr>
            </w:pPr>
            <w:r w:rsidRPr="00197B74">
              <w:rPr>
                <w:rFonts w:eastAsia="Calibri" w:cs="Helvetica-Light"/>
                <w:color w:val="000000"/>
                <w:szCs w:val="24"/>
              </w:rPr>
              <w:t>Vehicles</w:t>
            </w:r>
          </w:p>
        </w:tc>
        <w:tc>
          <w:tcPr>
            <w:tcW w:w="1500" w:type="dxa"/>
            <w:tcBorders>
              <w:top w:val="nil"/>
              <w:left w:val="nil"/>
              <w:bottom w:val="single" w:sz="4" w:space="0" w:color="auto"/>
              <w:right w:val="single" w:sz="4" w:space="0" w:color="auto"/>
            </w:tcBorders>
            <w:shd w:val="clear" w:color="auto" w:fill="auto"/>
            <w:noWrap/>
            <w:vAlign w:val="bottom"/>
            <w:hideMark/>
          </w:tcPr>
          <w:p w14:paraId="463DA732"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4.600</w:t>
            </w:r>
          </w:p>
        </w:tc>
        <w:tc>
          <w:tcPr>
            <w:tcW w:w="1500" w:type="dxa"/>
            <w:tcBorders>
              <w:top w:val="nil"/>
              <w:left w:val="nil"/>
              <w:bottom w:val="single" w:sz="4" w:space="0" w:color="auto"/>
              <w:right w:val="single" w:sz="4" w:space="0" w:color="auto"/>
            </w:tcBorders>
            <w:shd w:val="clear" w:color="auto" w:fill="auto"/>
            <w:noWrap/>
            <w:vAlign w:val="bottom"/>
            <w:hideMark/>
          </w:tcPr>
          <w:p w14:paraId="46440E2B"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3.000</w:t>
            </w:r>
          </w:p>
        </w:tc>
        <w:tc>
          <w:tcPr>
            <w:tcW w:w="1500" w:type="dxa"/>
            <w:tcBorders>
              <w:top w:val="nil"/>
              <w:left w:val="nil"/>
              <w:bottom w:val="single" w:sz="4" w:space="0" w:color="auto"/>
              <w:right w:val="single" w:sz="4" w:space="0" w:color="auto"/>
            </w:tcBorders>
            <w:shd w:val="clear" w:color="auto" w:fill="auto"/>
            <w:noWrap/>
            <w:vAlign w:val="bottom"/>
            <w:hideMark/>
          </w:tcPr>
          <w:p w14:paraId="3BE05BC4" w14:textId="77777777" w:rsidR="00EF055A" w:rsidRPr="00197B74" w:rsidRDefault="00EF055A" w:rsidP="00EF055A">
            <w:pPr>
              <w:autoSpaceDE w:val="0"/>
              <w:autoSpaceDN w:val="0"/>
              <w:adjustRightInd w:val="0"/>
              <w:spacing w:after="0"/>
              <w:jc w:val="right"/>
              <w:rPr>
                <w:rFonts w:eastAsia="Calibri" w:cs="Helvetica-Light"/>
                <w:color w:val="000000"/>
                <w:szCs w:val="24"/>
              </w:rPr>
            </w:pPr>
            <w:r w:rsidRPr="00197B74">
              <w:rPr>
                <w:rFonts w:eastAsia="Calibri" w:cs="Helvetica-Light"/>
                <w:color w:val="000000"/>
                <w:szCs w:val="24"/>
              </w:rPr>
              <w:t>3.000</w:t>
            </w:r>
          </w:p>
        </w:tc>
      </w:tr>
      <w:tr w:rsidR="009C2438" w14:paraId="74116107" w14:textId="77777777" w:rsidTr="00EF055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917C0D5" w14:textId="77777777" w:rsidR="00EF055A" w:rsidRPr="00197B74" w:rsidRDefault="00EF055A" w:rsidP="00EF055A">
            <w:pPr>
              <w:autoSpaceDE w:val="0"/>
              <w:autoSpaceDN w:val="0"/>
              <w:adjustRightInd w:val="0"/>
              <w:spacing w:after="0"/>
              <w:rPr>
                <w:rFonts w:eastAsia="Calibri" w:cs="Helvetica-Light"/>
                <w:b/>
                <w:bCs/>
                <w:color w:val="000000"/>
                <w:szCs w:val="24"/>
              </w:rPr>
            </w:pPr>
            <w:r w:rsidRPr="00197B74">
              <w:rPr>
                <w:rFonts w:eastAsia="Calibri" w:cs="Helvetica-Light"/>
                <w:b/>
                <w:bCs/>
                <w:color w:val="000000"/>
                <w:szCs w:val="24"/>
              </w:rPr>
              <w:t>Total Delivery Plan</w:t>
            </w:r>
          </w:p>
        </w:tc>
        <w:tc>
          <w:tcPr>
            <w:tcW w:w="1500" w:type="dxa"/>
            <w:tcBorders>
              <w:top w:val="nil"/>
              <w:left w:val="nil"/>
              <w:bottom w:val="single" w:sz="4" w:space="0" w:color="auto"/>
              <w:right w:val="single" w:sz="4" w:space="0" w:color="auto"/>
            </w:tcBorders>
            <w:shd w:val="clear" w:color="auto" w:fill="auto"/>
            <w:noWrap/>
            <w:vAlign w:val="bottom"/>
            <w:hideMark/>
          </w:tcPr>
          <w:p w14:paraId="2F4D837F" w14:textId="77777777" w:rsidR="00EF055A" w:rsidRPr="00197B74" w:rsidRDefault="00EF055A" w:rsidP="00EF055A">
            <w:pPr>
              <w:autoSpaceDE w:val="0"/>
              <w:autoSpaceDN w:val="0"/>
              <w:adjustRightInd w:val="0"/>
              <w:spacing w:after="0"/>
              <w:jc w:val="right"/>
              <w:rPr>
                <w:rFonts w:eastAsia="Calibri" w:cs="Helvetica-Light"/>
                <w:b/>
                <w:bCs/>
                <w:color w:val="000000"/>
                <w:szCs w:val="24"/>
              </w:rPr>
            </w:pPr>
            <w:r w:rsidRPr="00197B74">
              <w:rPr>
                <w:rFonts w:eastAsia="Calibri" w:cs="Helvetica-Light"/>
                <w:b/>
                <w:bCs/>
                <w:color w:val="000000"/>
                <w:szCs w:val="24"/>
              </w:rPr>
              <w:t>133.542</w:t>
            </w:r>
          </w:p>
        </w:tc>
        <w:tc>
          <w:tcPr>
            <w:tcW w:w="1500" w:type="dxa"/>
            <w:tcBorders>
              <w:top w:val="nil"/>
              <w:left w:val="nil"/>
              <w:bottom w:val="single" w:sz="4" w:space="0" w:color="auto"/>
              <w:right w:val="single" w:sz="4" w:space="0" w:color="auto"/>
            </w:tcBorders>
            <w:shd w:val="clear" w:color="auto" w:fill="auto"/>
            <w:noWrap/>
            <w:vAlign w:val="bottom"/>
            <w:hideMark/>
          </w:tcPr>
          <w:p w14:paraId="4BBA69FD" w14:textId="77777777" w:rsidR="00EF055A" w:rsidRPr="00197B74" w:rsidRDefault="00EF055A" w:rsidP="00EF055A">
            <w:pPr>
              <w:autoSpaceDE w:val="0"/>
              <w:autoSpaceDN w:val="0"/>
              <w:adjustRightInd w:val="0"/>
              <w:spacing w:after="0"/>
              <w:jc w:val="right"/>
              <w:rPr>
                <w:rFonts w:eastAsia="Calibri" w:cs="Helvetica-Light"/>
                <w:b/>
                <w:bCs/>
                <w:color w:val="000000"/>
                <w:szCs w:val="24"/>
              </w:rPr>
            </w:pPr>
            <w:r w:rsidRPr="00197B74">
              <w:rPr>
                <w:rFonts w:eastAsia="Calibri" w:cs="Helvetica-Light"/>
                <w:b/>
                <w:bCs/>
                <w:color w:val="000000"/>
                <w:szCs w:val="24"/>
              </w:rPr>
              <w:t>98.501</w:t>
            </w:r>
          </w:p>
        </w:tc>
        <w:tc>
          <w:tcPr>
            <w:tcW w:w="1500" w:type="dxa"/>
            <w:tcBorders>
              <w:top w:val="nil"/>
              <w:left w:val="nil"/>
              <w:bottom w:val="single" w:sz="4" w:space="0" w:color="auto"/>
              <w:right w:val="single" w:sz="4" w:space="0" w:color="auto"/>
            </w:tcBorders>
            <w:shd w:val="clear" w:color="auto" w:fill="auto"/>
            <w:noWrap/>
            <w:vAlign w:val="bottom"/>
            <w:hideMark/>
          </w:tcPr>
          <w:p w14:paraId="4980FA5B" w14:textId="77777777" w:rsidR="00EF055A" w:rsidRPr="00197B74" w:rsidRDefault="00EF055A" w:rsidP="00EF055A">
            <w:pPr>
              <w:autoSpaceDE w:val="0"/>
              <w:autoSpaceDN w:val="0"/>
              <w:adjustRightInd w:val="0"/>
              <w:spacing w:after="0"/>
              <w:jc w:val="right"/>
              <w:rPr>
                <w:rFonts w:eastAsia="Calibri" w:cs="Helvetica-Light"/>
                <w:b/>
                <w:bCs/>
                <w:color w:val="000000"/>
                <w:szCs w:val="24"/>
              </w:rPr>
            </w:pPr>
            <w:r w:rsidRPr="00197B74">
              <w:rPr>
                <w:rFonts w:eastAsia="Calibri" w:cs="Helvetica-Light"/>
                <w:b/>
                <w:bCs/>
                <w:color w:val="000000"/>
                <w:szCs w:val="24"/>
              </w:rPr>
              <w:t>52.843</w:t>
            </w:r>
          </w:p>
        </w:tc>
      </w:tr>
    </w:tbl>
    <w:p w14:paraId="59C43FEE" w14:textId="77777777" w:rsidR="00EF055A" w:rsidRPr="007A60AF" w:rsidRDefault="00EF055A" w:rsidP="00EF055A">
      <w:pPr>
        <w:autoSpaceDE w:val="0"/>
        <w:autoSpaceDN w:val="0"/>
        <w:adjustRightInd w:val="0"/>
        <w:spacing w:after="0"/>
        <w:jc w:val="right"/>
        <w:rPr>
          <w:rFonts w:eastAsia="Calibri" w:cs="Helvetica-Light"/>
          <w:color w:val="000000"/>
          <w:szCs w:val="24"/>
          <w:highlight w:val="yellow"/>
        </w:rPr>
      </w:pPr>
    </w:p>
    <w:p w14:paraId="58D56700" w14:textId="77777777" w:rsidR="00EF055A" w:rsidRPr="00590747" w:rsidRDefault="00EF055A" w:rsidP="00EF055A">
      <w:pPr>
        <w:jc w:val="both"/>
        <w:rPr>
          <w:rFonts w:cs="Arial"/>
          <w:szCs w:val="24"/>
        </w:rPr>
      </w:pPr>
      <w:r w:rsidRPr="00590747">
        <w:rPr>
          <w:rFonts w:cs="Arial"/>
          <w:szCs w:val="24"/>
        </w:rPr>
        <w:lastRenderedPageBreak/>
        <w:t xml:space="preserve">The programmes and projects within the above blocks will be developed fully before the start of the new </w:t>
      </w:r>
      <w:r>
        <w:rPr>
          <w:rFonts w:cs="Arial"/>
          <w:szCs w:val="24"/>
        </w:rPr>
        <w:t xml:space="preserve">financial </w:t>
      </w:r>
      <w:r w:rsidRPr="00590747">
        <w:rPr>
          <w:rFonts w:cs="Arial"/>
          <w:szCs w:val="24"/>
        </w:rPr>
        <w:t xml:space="preserve">year and will be taken to cabinet for approval before work commences.  </w:t>
      </w:r>
    </w:p>
    <w:p w14:paraId="0DDD472A" w14:textId="77777777" w:rsidR="00EF055A" w:rsidRPr="00902E41" w:rsidRDefault="00EF055A" w:rsidP="00EF055A">
      <w:pPr>
        <w:autoSpaceDE w:val="0"/>
        <w:autoSpaceDN w:val="0"/>
        <w:adjustRightInd w:val="0"/>
        <w:spacing w:after="0"/>
        <w:contextualSpacing/>
        <w:jc w:val="both"/>
        <w:rPr>
          <w:rFonts w:eastAsia="Calibri" w:cs="Helvetica-Light"/>
          <w:i/>
          <w:color w:val="000000"/>
          <w:szCs w:val="24"/>
        </w:rPr>
      </w:pPr>
      <w:r w:rsidRPr="00902E41">
        <w:rPr>
          <w:rFonts w:eastAsia="Calibri" w:cs="Helvetica-Light"/>
          <w:i/>
          <w:color w:val="000000"/>
          <w:szCs w:val="24"/>
        </w:rPr>
        <w:t>6.2 Proposed Funding</w:t>
      </w:r>
    </w:p>
    <w:p w14:paraId="7CFFD9C4" w14:textId="77777777" w:rsidR="00EF055A" w:rsidRPr="007A60AF" w:rsidRDefault="00EF055A" w:rsidP="00EF055A">
      <w:pPr>
        <w:autoSpaceDE w:val="0"/>
        <w:autoSpaceDN w:val="0"/>
        <w:adjustRightInd w:val="0"/>
        <w:spacing w:after="0"/>
        <w:contextualSpacing/>
        <w:jc w:val="both"/>
        <w:rPr>
          <w:rFonts w:eastAsia="Calibri" w:cs="Helvetica-Light"/>
          <w:color w:val="000000"/>
          <w:szCs w:val="24"/>
          <w:highlight w:val="yellow"/>
        </w:rPr>
      </w:pPr>
    </w:p>
    <w:p w14:paraId="7E52274A" w14:textId="77777777" w:rsidR="00EF055A" w:rsidRPr="00590747" w:rsidRDefault="00EF055A" w:rsidP="00EF055A">
      <w:pPr>
        <w:jc w:val="both"/>
        <w:rPr>
          <w:rFonts w:cs="Arial"/>
          <w:szCs w:val="24"/>
        </w:rPr>
      </w:pPr>
      <w:r w:rsidRPr="00590747">
        <w:rPr>
          <w:rFonts w:cs="Arial"/>
          <w:szCs w:val="24"/>
        </w:rPr>
        <w:t xml:space="preserve">The capital delivery programme is currently funded by a variety of funding streams, the funding by block for each of the 3 years is shown below </w:t>
      </w:r>
    </w:p>
    <w:p w14:paraId="30BA4216" w14:textId="77777777" w:rsidR="00EF055A" w:rsidRDefault="00EF055A" w:rsidP="00EF055A">
      <w:pPr>
        <w:autoSpaceDE w:val="0"/>
        <w:autoSpaceDN w:val="0"/>
        <w:adjustRightInd w:val="0"/>
        <w:spacing w:after="0"/>
        <w:jc w:val="both"/>
        <w:rPr>
          <w:rFonts w:eastAsia="Calibri" w:cs="Helvetica-Light"/>
          <w:b/>
          <w:color w:val="000000"/>
          <w:szCs w:val="24"/>
          <w:u w:val="single"/>
        </w:rPr>
      </w:pPr>
      <w:r w:rsidRPr="00902E41">
        <w:rPr>
          <w:rFonts w:eastAsia="Calibri" w:cs="Helvetica-Light"/>
          <w:b/>
          <w:color w:val="000000"/>
          <w:szCs w:val="24"/>
          <w:u w:val="single"/>
        </w:rPr>
        <w:t>Table 1</w:t>
      </w:r>
      <w:r>
        <w:rPr>
          <w:rFonts w:eastAsia="Calibri" w:cs="Helvetica-Light"/>
          <w:b/>
          <w:color w:val="000000"/>
          <w:szCs w:val="24"/>
          <w:u w:val="single"/>
        </w:rPr>
        <w:t>0</w:t>
      </w:r>
    </w:p>
    <w:p w14:paraId="748617BC" w14:textId="77777777" w:rsidR="00EF055A" w:rsidRDefault="00EF055A" w:rsidP="00EF055A">
      <w:pPr>
        <w:autoSpaceDE w:val="0"/>
        <w:autoSpaceDN w:val="0"/>
        <w:adjustRightInd w:val="0"/>
        <w:spacing w:after="0"/>
        <w:jc w:val="both"/>
        <w:rPr>
          <w:rFonts w:eastAsia="Calibri" w:cs="Helvetica-Light"/>
          <w:b/>
          <w:color w:val="000000"/>
          <w:szCs w:val="24"/>
          <w:u w:val="single"/>
        </w:rPr>
      </w:pPr>
    </w:p>
    <w:tbl>
      <w:tblPr>
        <w:tblW w:w="7278" w:type="dxa"/>
        <w:jc w:val="center"/>
        <w:tblLook w:val="04A0" w:firstRow="1" w:lastRow="0" w:firstColumn="1" w:lastColumn="0" w:noHBand="0" w:noVBand="1"/>
      </w:tblPr>
      <w:tblGrid>
        <w:gridCol w:w="2145"/>
        <w:gridCol w:w="1711"/>
        <w:gridCol w:w="1711"/>
        <w:gridCol w:w="1711"/>
      </w:tblGrid>
      <w:tr w:rsidR="009C2438" w14:paraId="70223FB4" w14:textId="77777777" w:rsidTr="00EF055A">
        <w:trPr>
          <w:trHeight w:val="1114"/>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98E04" w14:textId="77777777" w:rsidR="00EF055A" w:rsidRPr="00590747" w:rsidRDefault="00EF055A" w:rsidP="00EF055A">
            <w:pPr>
              <w:spacing w:after="0" w:line="240" w:lineRule="auto"/>
              <w:jc w:val="both"/>
              <w:rPr>
                <w:rFonts w:cs="Arial"/>
                <w:color w:val="000000"/>
                <w:szCs w:val="24"/>
                <w:lang w:eastAsia="en-GB"/>
              </w:rPr>
            </w:pPr>
            <w:r w:rsidRPr="00590747">
              <w:rPr>
                <w:rFonts w:cs="Arial"/>
                <w:color w:val="000000"/>
                <w:szCs w:val="24"/>
                <w:lang w:eastAsia="en-GB"/>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3BDA2012" w14:textId="77777777" w:rsidR="00EF055A" w:rsidRPr="00590747" w:rsidRDefault="00EF055A" w:rsidP="00EF055A">
            <w:pPr>
              <w:spacing w:after="0" w:line="240" w:lineRule="auto"/>
              <w:jc w:val="center"/>
              <w:rPr>
                <w:rFonts w:cs="Arial"/>
                <w:b/>
                <w:bCs/>
                <w:color w:val="000000"/>
                <w:szCs w:val="24"/>
                <w:lang w:eastAsia="en-GB"/>
              </w:rPr>
            </w:pPr>
            <w:r w:rsidRPr="00590747">
              <w:rPr>
                <w:rFonts w:cs="Arial"/>
                <w:b/>
                <w:bCs/>
                <w:color w:val="000000"/>
                <w:szCs w:val="24"/>
                <w:lang w:eastAsia="en-GB"/>
              </w:rPr>
              <w:t>Draft  2020/21 delivery budget</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3A0D2C9B" w14:textId="77777777" w:rsidR="00EF055A" w:rsidRPr="00590747" w:rsidRDefault="00EF055A" w:rsidP="00EF055A">
            <w:pPr>
              <w:spacing w:after="0" w:line="240" w:lineRule="auto"/>
              <w:jc w:val="center"/>
              <w:rPr>
                <w:rFonts w:cs="Arial"/>
                <w:b/>
                <w:bCs/>
                <w:color w:val="000000"/>
                <w:szCs w:val="24"/>
                <w:lang w:eastAsia="en-GB"/>
              </w:rPr>
            </w:pPr>
            <w:r w:rsidRPr="00590747">
              <w:rPr>
                <w:rFonts w:cs="Arial"/>
                <w:b/>
                <w:bCs/>
                <w:color w:val="000000"/>
                <w:szCs w:val="24"/>
                <w:lang w:eastAsia="en-GB"/>
              </w:rPr>
              <w:t>Draft 2021/22 delivery budget</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2674F686" w14:textId="77777777" w:rsidR="00EF055A" w:rsidRPr="00590747" w:rsidRDefault="00EF055A" w:rsidP="00EF055A">
            <w:pPr>
              <w:spacing w:after="0" w:line="240" w:lineRule="auto"/>
              <w:jc w:val="center"/>
              <w:rPr>
                <w:rFonts w:cs="Arial"/>
                <w:b/>
                <w:bCs/>
                <w:color w:val="000000"/>
                <w:szCs w:val="24"/>
                <w:lang w:eastAsia="en-GB"/>
              </w:rPr>
            </w:pPr>
            <w:r w:rsidRPr="00590747">
              <w:rPr>
                <w:rFonts w:cs="Arial"/>
                <w:b/>
                <w:bCs/>
                <w:color w:val="000000"/>
                <w:szCs w:val="24"/>
                <w:lang w:eastAsia="en-GB"/>
              </w:rPr>
              <w:t>Draft 2022/23 delivery budget</w:t>
            </w:r>
          </w:p>
        </w:tc>
      </w:tr>
      <w:tr w:rsidR="009C2438" w14:paraId="39F88160" w14:textId="77777777" w:rsidTr="00EF055A">
        <w:trPr>
          <w:trHeight w:val="371"/>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6CF2D21A" w14:textId="77777777" w:rsidR="00EF055A" w:rsidRPr="00590747" w:rsidRDefault="00EF055A" w:rsidP="00EF055A">
            <w:pPr>
              <w:spacing w:after="0" w:line="240" w:lineRule="auto"/>
              <w:jc w:val="both"/>
              <w:rPr>
                <w:rFonts w:cs="Arial"/>
                <w:color w:val="000000"/>
                <w:szCs w:val="24"/>
                <w:lang w:eastAsia="en-GB"/>
              </w:rPr>
            </w:pPr>
            <w:r w:rsidRPr="00590747">
              <w:rPr>
                <w:rFonts w:cs="Arial"/>
                <w:color w:val="000000"/>
                <w:szCs w:val="24"/>
                <w:lang w:eastAsia="en-GB"/>
              </w:rPr>
              <w:t> </w:t>
            </w:r>
          </w:p>
        </w:tc>
        <w:tc>
          <w:tcPr>
            <w:tcW w:w="1711" w:type="dxa"/>
            <w:tcBorders>
              <w:top w:val="nil"/>
              <w:left w:val="nil"/>
              <w:bottom w:val="single" w:sz="4" w:space="0" w:color="auto"/>
              <w:right w:val="single" w:sz="4" w:space="0" w:color="auto"/>
            </w:tcBorders>
            <w:shd w:val="clear" w:color="auto" w:fill="auto"/>
            <w:vAlign w:val="center"/>
            <w:hideMark/>
          </w:tcPr>
          <w:p w14:paraId="3A731712" w14:textId="77777777" w:rsidR="00EF055A" w:rsidRPr="00590747" w:rsidRDefault="00EF055A" w:rsidP="00EF055A">
            <w:pPr>
              <w:spacing w:after="0" w:line="240" w:lineRule="auto"/>
              <w:jc w:val="center"/>
              <w:rPr>
                <w:rFonts w:cs="Arial"/>
                <w:b/>
                <w:bCs/>
                <w:color w:val="000000"/>
                <w:szCs w:val="24"/>
                <w:lang w:eastAsia="en-GB"/>
              </w:rPr>
            </w:pPr>
            <w:r w:rsidRPr="00590747">
              <w:rPr>
                <w:rFonts w:cs="Arial"/>
                <w:b/>
                <w:bCs/>
                <w:color w:val="000000"/>
                <w:szCs w:val="24"/>
                <w:lang w:eastAsia="en-GB"/>
              </w:rPr>
              <w:t>£m</w:t>
            </w:r>
          </w:p>
        </w:tc>
        <w:tc>
          <w:tcPr>
            <w:tcW w:w="1711" w:type="dxa"/>
            <w:tcBorders>
              <w:top w:val="nil"/>
              <w:left w:val="nil"/>
              <w:bottom w:val="single" w:sz="4" w:space="0" w:color="auto"/>
              <w:right w:val="single" w:sz="4" w:space="0" w:color="auto"/>
            </w:tcBorders>
            <w:shd w:val="clear" w:color="auto" w:fill="auto"/>
            <w:vAlign w:val="center"/>
            <w:hideMark/>
          </w:tcPr>
          <w:p w14:paraId="6C48EF78" w14:textId="77777777" w:rsidR="00EF055A" w:rsidRPr="00590747" w:rsidRDefault="00EF055A" w:rsidP="00EF055A">
            <w:pPr>
              <w:spacing w:after="0" w:line="240" w:lineRule="auto"/>
              <w:jc w:val="center"/>
              <w:rPr>
                <w:rFonts w:cs="Arial"/>
                <w:b/>
                <w:bCs/>
                <w:color w:val="000000"/>
                <w:szCs w:val="24"/>
                <w:lang w:eastAsia="en-GB"/>
              </w:rPr>
            </w:pPr>
            <w:r w:rsidRPr="00590747">
              <w:rPr>
                <w:rFonts w:cs="Arial"/>
                <w:b/>
                <w:bCs/>
                <w:color w:val="000000"/>
                <w:szCs w:val="24"/>
                <w:lang w:eastAsia="en-GB"/>
              </w:rPr>
              <w:t>£m</w:t>
            </w:r>
          </w:p>
        </w:tc>
        <w:tc>
          <w:tcPr>
            <w:tcW w:w="1711" w:type="dxa"/>
            <w:tcBorders>
              <w:top w:val="nil"/>
              <w:left w:val="nil"/>
              <w:bottom w:val="single" w:sz="4" w:space="0" w:color="auto"/>
              <w:right w:val="single" w:sz="4" w:space="0" w:color="auto"/>
            </w:tcBorders>
            <w:shd w:val="clear" w:color="auto" w:fill="auto"/>
            <w:vAlign w:val="center"/>
            <w:hideMark/>
          </w:tcPr>
          <w:p w14:paraId="4517B7F1" w14:textId="77777777" w:rsidR="00EF055A" w:rsidRPr="00590747" w:rsidRDefault="00EF055A" w:rsidP="00EF055A">
            <w:pPr>
              <w:spacing w:after="0" w:line="240" w:lineRule="auto"/>
              <w:jc w:val="center"/>
              <w:rPr>
                <w:rFonts w:cs="Arial"/>
                <w:b/>
                <w:bCs/>
                <w:color w:val="000000"/>
                <w:szCs w:val="24"/>
                <w:lang w:eastAsia="en-GB"/>
              </w:rPr>
            </w:pPr>
            <w:r w:rsidRPr="00590747">
              <w:rPr>
                <w:rFonts w:cs="Arial"/>
                <w:b/>
                <w:bCs/>
                <w:color w:val="000000"/>
                <w:szCs w:val="24"/>
                <w:lang w:eastAsia="en-GB"/>
              </w:rPr>
              <w:t>£m</w:t>
            </w:r>
          </w:p>
        </w:tc>
      </w:tr>
      <w:tr w:rsidR="009C2438" w14:paraId="303B90DF" w14:textId="77777777" w:rsidTr="00EF055A">
        <w:trPr>
          <w:trHeight w:val="371"/>
          <w:jc w:val="center"/>
        </w:trPr>
        <w:tc>
          <w:tcPr>
            <w:tcW w:w="2145" w:type="dxa"/>
            <w:tcBorders>
              <w:top w:val="nil"/>
              <w:left w:val="single" w:sz="4" w:space="0" w:color="auto"/>
              <w:bottom w:val="single" w:sz="4" w:space="0" w:color="auto"/>
              <w:right w:val="single" w:sz="4" w:space="0" w:color="auto"/>
            </w:tcBorders>
            <w:shd w:val="clear" w:color="auto" w:fill="auto"/>
            <w:vAlign w:val="center"/>
            <w:hideMark/>
          </w:tcPr>
          <w:p w14:paraId="0D881E23" w14:textId="77777777" w:rsidR="00EF055A" w:rsidRPr="00590747" w:rsidRDefault="00EF055A" w:rsidP="00EF055A">
            <w:pPr>
              <w:spacing w:after="0" w:line="240" w:lineRule="auto"/>
              <w:jc w:val="both"/>
              <w:rPr>
                <w:rFonts w:cs="Arial"/>
                <w:color w:val="000000"/>
                <w:szCs w:val="24"/>
                <w:lang w:eastAsia="en-GB"/>
              </w:rPr>
            </w:pPr>
            <w:r w:rsidRPr="00590747">
              <w:rPr>
                <w:rFonts w:cs="Arial"/>
                <w:color w:val="000000"/>
                <w:szCs w:val="24"/>
                <w:lang w:eastAsia="en-GB"/>
              </w:rPr>
              <w:t>Borrowing</w:t>
            </w:r>
          </w:p>
        </w:tc>
        <w:tc>
          <w:tcPr>
            <w:tcW w:w="1711" w:type="dxa"/>
            <w:tcBorders>
              <w:top w:val="nil"/>
              <w:left w:val="nil"/>
              <w:bottom w:val="single" w:sz="4" w:space="0" w:color="auto"/>
              <w:right w:val="single" w:sz="4" w:space="0" w:color="auto"/>
            </w:tcBorders>
            <w:shd w:val="clear" w:color="auto" w:fill="auto"/>
            <w:noWrap/>
            <w:vAlign w:val="bottom"/>
            <w:hideMark/>
          </w:tcPr>
          <w:p w14:paraId="39F8EB86" w14:textId="77777777" w:rsidR="00EF055A" w:rsidRPr="00590747" w:rsidRDefault="00EF055A" w:rsidP="00EF055A">
            <w:pPr>
              <w:spacing w:after="0" w:line="240" w:lineRule="auto"/>
              <w:jc w:val="right"/>
              <w:rPr>
                <w:rFonts w:cs="Arial"/>
                <w:color w:val="000000"/>
                <w:szCs w:val="24"/>
                <w:lang w:eastAsia="en-GB"/>
              </w:rPr>
            </w:pPr>
            <w:r w:rsidRPr="00590747">
              <w:rPr>
                <w:rFonts w:cs="Arial"/>
                <w:color w:val="000000"/>
                <w:szCs w:val="24"/>
                <w:lang w:eastAsia="en-GB"/>
              </w:rPr>
              <w:t>26.472</w:t>
            </w:r>
          </w:p>
        </w:tc>
        <w:tc>
          <w:tcPr>
            <w:tcW w:w="1711" w:type="dxa"/>
            <w:tcBorders>
              <w:top w:val="nil"/>
              <w:left w:val="nil"/>
              <w:bottom w:val="single" w:sz="4" w:space="0" w:color="auto"/>
              <w:right w:val="single" w:sz="4" w:space="0" w:color="auto"/>
            </w:tcBorders>
            <w:shd w:val="clear" w:color="auto" w:fill="auto"/>
            <w:noWrap/>
            <w:vAlign w:val="bottom"/>
            <w:hideMark/>
          </w:tcPr>
          <w:p w14:paraId="1D70401C" w14:textId="77777777" w:rsidR="00EF055A" w:rsidRPr="00590747" w:rsidRDefault="00EF055A" w:rsidP="00EF055A">
            <w:pPr>
              <w:spacing w:after="0" w:line="240" w:lineRule="auto"/>
              <w:jc w:val="right"/>
              <w:rPr>
                <w:rFonts w:cs="Arial"/>
                <w:color w:val="000000"/>
                <w:szCs w:val="24"/>
                <w:lang w:eastAsia="en-GB"/>
              </w:rPr>
            </w:pPr>
            <w:r w:rsidRPr="00590747">
              <w:rPr>
                <w:rFonts w:cs="Arial"/>
                <w:color w:val="000000"/>
                <w:szCs w:val="24"/>
                <w:lang w:eastAsia="en-GB"/>
              </w:rPr>
              <w:t>35.455</w:t>
            </w:r>
          </w:p>
        </w:tc>
        <w:tc>
          <w:tcPr>
            <w:tcW w:w="1711" w:type="dxa"/>
            <w:tcBorders>
              <w:top w:val="nil"/>
              <w:left w:val="nil"/>
              <w:bottom w:val="single" w:sz="4" w:space="0" w:color="auto"/>
              <w:right w:val="single" w:sz="4" w:space="0" w:color="auto"/>
            </w:tcBorders>
            <w:shd w:val="clear" w:color="auto" w:fill="auto"/>
            <w:noWrap/>
            <w:vAlign w:val="bottom"/>
            <w:hideMark/>
          </w:tcPr>
          <w:p w14:paraId="76583022" w14:textId="77777777" w:rsidR="00EF055A" w:rsidRPr="00590747" w:rsidRDefault="00EF055A" w:rsidP="00EF055A">
            <w:pPr>
              <w:spacing w:after="0" w:line="240" w:lineRule="auto"/>
              <w:jc w:val="right"/>
              <w:rPr>
                <w:rFonts w:cs="Arial"/>
                <w:color w:val="000000"/>
                <w:szCs w:val="24"/>
                <w:lang w:eastAsia="en-GB"/>
              </w:rPr>
            </w:pPr>
            <w:r w:rsidRPr="00590747">
              <w:rPr>
                <w:rFonts w:cs="Arial"/>
                <w:color w:val="000000"/>
                <w:szCs w:val="24"/>
                <w:lang w:eastAsia="en-GB"/>
              </w:rPr>
              <w:t>12.455</w:t>
            </w:r>
          </w:p>
        </w:tc>
      </w:tr>
      <w:tr w:rsidR="009C2438" w14:paraId="696B2D99" w14:textId="77777777" w:rsidTr="00EF055A">
        <w:trPr>
          <w:trHeight w:val="371"/>
          <w:jc w:val="center"/>
        </w:trPr>
        <w:tc>
          <w:tcPr>
            <w:tcW w:w="2145" w:type="dxa"/>
            <w:tcBorders>
              <w:top w:val="nil"/>
              <w:left w:val="single" w:sz="4" w:space="0" w:color="auto"/>
              <w:bottom w:val="single" w:sz="4" w:space="0" w:color="auto"/>
              <w:right w:val="single" w:sz="4" w:space="0" w:color="auto"/>
            </w:tcBorders>
            <w:shd w:val="clear" w:color="auto" w:fill="auto"/>
            <w:vAlign w:val="center"/>
            <w:hideMark/>
          </w:tcPr>
          <w:p w14:paraId="7831930D" w14:textId="77777777" w:rsidR="00EF055A" w:rsidRPr="00590747" w:rsidRDefault="00EF055A" w:rsidP="00EF055A">
            <w:pPr>
              <w:spacing w:after="0" w:line="240" w:lineRule="auto"/>
              <w:jc w:val="both"/>
              <w:rPr>
                <w:rFonts w:cs="Arial"/>
                <w:color w:val="000000"/>
                <w:szCs w:val="24"/>
                <w:lang w:eastAsia="en-GB"/>
              </w:rPr>
            </w:pPr>
            <w:r w:rsidRPr="00590747">
              <w:rPr>
                <w:rFonts w:cs="Arial"/>
                <w:color w:val="000000"/>
                <w:szCs w:val="24"/>
                <w:lang w:eastAsia="en-GB"/>
              </w:rPr>
              <w:t>Grant</w:t>
            </w:r>
          </w:p>
        </w:tc>
        <w:tc>
          <w:tcPr>
            <w:tcW w:w="1711" w:type="dxa"/>
            <w:tcBorders>
              <w:top w:val="nil"/>
              <w:left w:val="nil"/>
              <w:bottom w:val="single" w:sz="4" w:space="0" w:color="auto"/>
              <w:right w:val="single" w:sz="4" w:space="0" w:color="auto"/>
            </w:tcBorders>
            <w:shd w:val="clear" w:color="auto" w:fill="auto"/>
            <w:noWrap/>
            <w:vAlign w:val="bottom"/>
            <w:hideMark/>
          </w:tcPr>
          <w:p w14:paraId="20E343F9" w14:textId="77777777" w:rsidR="00EF055A" w:rsidRPr="00590747" w:rsidRDefault="00EF055A" w:rsidP="00EF055A">
            <w:pPr>
              <w:spacing w:after="0" w:line="240" w:lineRule="auto"/>
              <w:jc w:val="right"/>
              <w:rPr>
                <w:rFonts w:cs="Arial"/>
                <w:color w:val="000000"/>
                <w:szCs w:val="24"/>
                <w:lang w:eastAsia="en-GB"/>
              </w:rPr>
            </w:pPr>
            <w:r w:rsidRPr="00590747">
              <w:rPr>
                <w:rFonts w:cs="Arial"/>
                <w:color w:val="000000"/>
                <w:szCs w:val="24"/>
                <w:lang w:eastAsia="en-GB"/>
              </w:rPr>
              <w:t>91.796</w:t>
            </w:r>
          </w:p>
        </w:tc>
        <w:tc>
          <w:tcPr>
            <w:tcW w:w="1711" w:type="dxa"/>
            <w:tcBorders>
              <w:top w:val="nil"/>
              <w:left w:val="nil"/>
              <w:bottom w:val="single" w:sz="4" w:space="0" w:color="auto"/>
              <w:right w:val="single" w:sz="4" w:space="0" w:color="auto"/>
            </w:tcBorders>
            <w:shd w:val="clear" w:color="auto" w:fill="auto"/>
            <w:noWrap/>
            <w:vAlign w:val="bottom"/>
            <w:hideMark/>
          </w:tcPr>
          <w:p w14:paraId="49B370D0" w14:textId="77777777" w:rsidR="00EF055A" w:rsidRPr="00590747" w:rsidRDefault="00EF055A" w:rsidP="00EF055A">
            <w:pPr>
              <w:spacing w:after="0" w:line="240" w:lineRule="auto"/>
              <w:jc w:val="right"/>
              <w:rPr>
                <w:rFonts w:cs="Arial"/>
                <w:color w:val="000000"/>
                <w:szCs w:val="24"/>
                <w:lang w:eastAsia="en-GB"/>
              </w:rPr>
            </w:pPr>
            <w:r w:rsidRPr="00590747">
              <w:rPr>
                <w:rFonts w:cs="Arial"/>
                <w:color w:val="000000"/>
                <w:szCs w:val="24"/>
                <w:lang w:eastAsia="en-GB"/>
              </w:rPr>
              <w:t>60.508</w:t>
            </w:r>
          </w:p>
        </w:tc>
        <w:tc>
          <w:tcPr>
            <w:tcW w:w="1711" w:type="dxa"/>
            <w:tcBorders>
              <w:top w:val="nil"/>
              <w:left w:val="nil"/>
              <w:bottom w:val="single" w:sz="4" w:space="0" w:color="auto"/>
              <w:right w:val="single" w:sz="4" w:space="0" w:color="auto"/>
            </w:tcBorders>
            <w:shd w:val="clear" w:color="auto" w:fill="auto"/>
            <w:noWrap/>
            <w:vAlign w:val="bottom"/>
            <w:hideMark/>
          </w:tcPr>
          <w:p w14:paraId="03FBAEBD" w14:textId="77777777" w:rsidR="00EF055A" w:rsidRPr="00590747" w:rsidRDefault="00EF055A" w:rsidP="00EF055A">
            <w:pPr>
              <w:spacing w:after="0" w:line="240" w:lineRule="auto"/>
              <w:jc w:val="right"/>
              <w:rPr>
                <w:rFonts w:cs="Arial"/>
                <w:color w:val="000000"/>
                <w:szCs w:val="24"/>
                <w:lang w:eastAsia="en-GB"/>
              </w:rPr>
            </w:pPr>
            <w:r w:rsidRPr="00590747">
              <w:rPr>
                <w:rFonts w:cs="Arial"/>
                <w:color w:val="000000"/>
                <w:szCs w:val="24"/>
                <w:lang w:eastAsia="en-GB"/>
              </w:rPr>
              <w:t>38.932</w:t>
            </w:r>
          </w:p>
        </w:tc>
      </w:tr>
      <w:tr w:rsidR="009C2438" w14:paraId="1B17A18F" w14:textId="77777777" w:rsidTr="00EF055A">
        <w:trPr>
          <w:trHeight w:val="371"/>
          <w:jc w:val="center"/>
        </w:trPr>
        <w:tc>
          <w:tcPr>
            <w:tcW w:w="2145" w:type="dxa"/>
            <w:tcBorders>
              <w:top w:val="nil"/>
              <w:left w:val="single" w:sz="4" w:space="0" w:color="auto"/>
              <w:bottom w:val="single" w:sz="4" w:space="0" w:color="auto"/>
              <w:right w:val="single" w:sz="4" w:space="0" w:color="auto"/>
            </w:tcBorders>
            <w:shd w:val="clear" w:color="auto" w:fill="auto"/>
            <w:vAlign w:val="center"/>
            <w:hideMark/>
          </w:tcPr>
          <w:p w14:paraId="4FC1357A" w14:textId="77777777" w:rsidR="00EF055A" w:rsidRPr="00590747" w:rsidRDefault="00EF055A" w:rsidP="00EF055A">
            <w:pPr>
              <w:spacing w:after="0" w:line="240" w:lineRule="auto"/>
              <w:jc w:val="both"/>
              <w:rPr>
                <w:rFonts w:cs="Arial"/>
                <w:color w:val="000000"/>
                <w:szCs w:val="24"/>
                <w:lang w:eastAsia="en-GB"/>
              </w:rPr>
            </w:pPr>
            <w:r w:rsidRPr="00590747">
              <w:rPr>
                <w:rFonts w:cs="Arial"/>
                <w:color w:val="000000"/>
                <w:szCs w:val="24"/>
                <w:lang w:eastAsia="en-GB"/>
              </w:rPr>
              <w:t>Contributions</w:t>
            </w:r>
          </w:p>
        </w:tc>
        <w:tc>
          <w:tcPr>
            <w:tcW w:w="1711" w:type="dxa"/>
            <w:tcBorders>
              <w:top w:val="nil"/>
              <w:left w:val="nil"/>
              <w:bottom w:val="single" w:sz="4" w:space="0" w:color="auto"/>
              <w:right w:val="single" w:sz="4" w:space="0" w:color="auto"/>
            </w:tcBorders>
            <w:shd w:val="clear" w:color="auto" w:fill="auto"/>
            <w:noWrap/>
            <w:vAlign w:val="bottom"/>
            <w:hideMark/>
          </w:tcPr>
          <w:p w14:paraId="422D5C91" w14:textId="77777777" w:rsidR="00EF055A" w:rsidRPr="00590747" w:rsidRDefault="00EF055A" w:rsidP="00EF055A">
            <w:pPr>
              <w:spacing w:after="0" w:line="240" w:lineRule="auto"/>
              <w:jc w:val="right"/>
              <w:rPr>
                <w:rFonts w:cs="Arial"/>
                <w:color w:val="000000"/>
                <w:szCs w:val="24"/>
                <w:lang w:eastAsia="en-GB"/>
              </w:rPr>
            </w:pPr>
            <w:r w:rsidRPr="00590747">
              <w:rPr>
                <w:rFonts w:cs="Arial"/>
                <w:color w:val="000000"/>
                <w:szCs w:val="24"/>
                <w:lang w:eastAsia="en-GB"/>
              </w:rPr>
              <w:t>15.274</w:t>
            </w:r>
          </w:p>
        </w:tc>
        <w:tc>
          <w:tcPr>
            <w:tcW w:w="1711" w:type="dxa"/>
            <w:tcBorders>
              <w:top w:val="nil"/>
              <w:left w:val="nil"/>
              <w:bottom w:val="single" w:sz="4" w:space="0" w:color="auto"/>
              <w:right w:val="single" w:sz="4" w:space="0" w:color="auto"/>
            </w:tcBorders>
            <w:shd w:val="clear" w:color="auto" w:fill="auto"/>
            <w:noWrap/>
            <w:vAlign w:val="bottom"/>
            <w:hideMark/>
          </w:tcPr>
          <w:p w14:paraId="6144F8F2" w14:textId="77777777" w:rsidR="00EF055A" w:rsidRPr="00590747" w:rsidRDefault="00EF055A" w:rsidP="00EF055A">
            <w:pPr>
              <w:spacing w:after="0" w:line="240" w:lineRule="auto"/>
              <w:jc w:val="right"/>
              <w:rPr>
                <w:rFonts w:cs="Arial"/>
                <w:color w:val="000000"/>
                <w:szCs w:val="24"/>
                <w:lang w:eastAsia="en-GB"/>
              </w:rPr>
            </w:pPr>
            <w:r w:rsidRPr="00590747">
              <w:rPr>
                <w:rFonts w:cs="Arial"/>
                <w:color w:val="000000"/>
                <w:szCs w:val="24"/>
                <w:lang w:eastAsia="en-GB"/>
              </w:rPr>
              <w:t>2.538</w:t>
            </w:r>
          </w:p>
        </w:tc>
        <w:tc>
          <w:tcPr>
            <w:tcW w:w="1711" w:type="dxa"/>
            <w:tcBorders>
              <w:top w:val="nil"/>
              <w:left w:val="nil"/>
              <w:bottom w:val="single" w:sz="4" w:space="0" w:color="auto"/>
              <w:right w:val="single" w:sz="4" w:space="0" w:color="auto"/>
            </w:tcBorders>
            <w:shd w:val="clear" w:color="auto" w:fill="auto"/>
            <w:noWrap/>
            <w:vAlign w:val="bottom"/>
            <w:hideMark/>
          </w:tcPr>
          <w:p w14:paraId="2E0F46B0" w14:textId="77777777" w:rsidR="00EF055A" w:rsidRPr="00590747" w:rsidRDefault="00EF055A" w:rsidP="00EF055A">
            <w:pPr>
              <w:spacing w:after="0" w:line="240" w:lineRule="auto"/>
              <w:jc w:val="right"/>
              <w:rPr>
                <w:rFonts w:cs="Arial"/>
                <w:color w:val="000000"/>
                <w:szCs w:val="24"/>
                <w:lang w:eastAsia="en-GB"/>
              </w:rPr>
            </w:pPr>
            <w:r w:rsidRPr="00590747">
              <w:rPr>
                <w:rFonts w:cs="Arial"/>
                <w:color w:val="000000"/>
                <w:szCs w:val="24"/>
                <w:lang w:eastAsia="en-GB"/>
              </w:rPr>
              <w:t>1.456</w:t>
            </w:r>
          </w:p>
        </w:tc>
      </w:tr>
      <w:tr w:rsidR="009C2438" w14:paraId="451F8EC8" w14:textId="77777777" w:rsidTr="00EF055A">
        <w:trPr>
          <w:trHeight w:val="371"/>
          <w:jc w:val="center"/>
        </w:trPr>
        <w:tc>
          <w:tcPr>
            <w:tcW w:w="2145" w:type="dxa"/>
            <w:tcBorders>
              <w:top w:val="nil"/>
              <w:left w:val="single" w:sz="4" w:space="0" w:color="auto"/>
              <w:bottom w:val="single" w:sz="4" w:space="0" w:color="auto"/>
              <w:right w:val="single" w:sz="4" w:space="0" w:color="auto"/>
            </w:tcBorders>
            <w:shd w:val="clear" w:color="auto" w:fill="auto"/>
            <w:vAlign w:val="center"/>
            <w:hideMark/>
          </w:tcPr>
          <w:p w14:paraId="749DB9B2" w14:textId="77777777" w:rsidR="00EF055A" w:rsidRPr="00590747" w:rsidRDefault="00EF055A" w:rsidP="00EF055A">
            <w:pPr>
              <w:spacing w:after="0" w:line="240" w:lineRule="auto"/>
              <w:jc w:val="both"/>
              <w:rPr>
                <w:rFonts w:cs="Arial"/>
                <w:b/>
                <w:bCs/>
                <w:color w:val="000000"/>
                <w:szCs w:val="24"/>
                <w:lang w:eastAsia="en-GB"/>
              </w:rPr>
            </w:pPr>
            <w:r w:rsidRPr="00590747">
              <w:rPr>
                <w:rFonts w:cs="Arial"/>
                <w:b/>
                <w:bCs/>
                <w:color w:val="000000"/>
                <w:szCs w:val="24"/>
                <w:lang w:eastAsia="en-GB"/>
              </w:rPr>
              <w:t>Total Funding</w:t>
            </w:r>
          </w:p>
        </w:tc>
        <w:tc>
          <w:tcPr>
            <w:tcW w:w="1711" w:type="dxa"/>
            <w:tcBorders>
              <w:top w:val="nil"/>
              <w:left w:val="nil"/>
              <w:bottom w:val="single" w:sz="4" w:space="0" w:color="auto"/>
              <w:right w:val="single" w:sz="4" w:space="0" w:color="auto"/>
            </w:tcBorders>
            <w:shd w:val="clear" w:color="auto" w:fill="auto"/>
            <w:noWrap/>
            <w:vAlign w:val="bottom"/>
            <w:hideMark/>
          </w:tcPr>
          <w:p w14:paraId="61E9DE31" w14:textId="77777777" w:rsidR="00EF055A" w:rsidRPr="00590747" w:rsidRDefault="00EF055A" w:rsidP="00EF055A">
            <w:pPr>
              <w:spacing w:after="0" w:line="240" w:lineRule="auto"/>
              <w:jc w:val="right"/>
              <w:rPr>
                <w:rFonts w:cs="Arial"/>
                <w:b/>
                <w:bCs/>
                <w:color w:val="000000"/>
                <w:szCs w:val="24"/>
                <w:lang w:eastAsia="en-GB"/>
              </w:rPr>
            </w:pPr>
            <w:r w:rsidRPr="00590747">
              <w:rPr>
                <w:rFonts w:cs="Arial"/>
                <w:b/>
                <w:bCs/>
                <w:color w:val="000000"/>
                <w:szCs w:val="24"/>
                <w:lang w:eastAsia="en-GB"/>
              </w:rPr>
              <w:t>133.542</w:t>
            </w:r>
          </w:p>
        </w:tc>
        <w:tc>
          <w:tcPr>
            <w:tcW w:w="1711" w:type="dxa"/>
            <w:tcBorders>
              <w:top w:val="nil"/>
              <w:left w:val="nil"/>
              <w:bottom w:val="single" w:sz="4" w:space="0" w:color="auto"/>
              <w:right w:val="single" w:sz="4" w:space="0" w:color="auto"/>
            </w:tcBorders>
            <w:shd w:val="clear" w:color="auto" w:fill="auto"/>
            <w:noWrap/>
            <w:vAlign w:val="bottom"/>
            <w:hideMark/>
          </w:tcPr>
          <w:p w14:paraId="63FDF9CE" w14:textId="77777777" w:rsidR="00EF055A" w:rsidRPr="00590747" w:rsidRDefault="00EF055A" w:rsidP="00EF055A">
            <w:pPr>
              <w:spacing w:after="0" w:line="240" w:lineRule="auto"/>
              <w:jc w:val="right"/>
              <w:rPr>
                <w:rFonts w:cs="Arial"/>
                <w:b/>
                <w:bCs/>
                <w:color w:val="000000"/>
                <w:szCs w:val="24"/>
                <w:lang w:eastAsia="en-GB"/>
              </w:rPr>
            </w:pPr>
            <w:r w:rsidRPr="00590747">
              <w:rPr>
                <w:rFonts w:cs="Arial"/>
                <w:b/>
                <w:bCs/>
                <w:color w:val="000000"/>
                <w:szCs w:val="24"/>
                <w:lang w:eastAsia="en-GB"/>
              </w:rPr>
              <w:t>98.501</w:t>
            </w:r>
          </w:p>
        </w:tc>
        <w:tc>
          <w:tcPr>
            <w:tcW w:w="1711" w:type="dxa"/>
            <w:tcBorders>
              <w:top w:val="nil"/>
              <w:left w:val="nil"/>
              <w:bottom w:val="single" w:sz="4" w:space="0" w:color="auto"/>
              <w:right w:val="single" w:sz="4" w:space="0" w:color="auto"/>
            </w:tcBorders>
            <w:shd w:val="clear" w:color="auto" w:fill="auto"/>
            <w:noWrap/>
            <w:vAlign w:val="bottom"/>
            <w:hideMark/>
          </w:tcPr>
          <w:p w14:paraId="21654548" w14:textId="77777777" w:rsidR="00EF055A" w:rsidRPr="00590747" w:rsidRDefault="00EF055A" w:rsidP="00EF055A">
            <w:pPr>
              <w:spacing w:after="0" w:line="240" w:lineRule="auto"/>
              <w:jc w:val="right"/>
              <w:rPr>
                <w:rFonts w:cs="Arial"/>
                <w:b/>
                <w:bCs/>
                <w:color w:val="000000"/>
                <w:szCs w:val="24"/>
                <w:lang w:eastAsia="en-GB"/>
              </w:rPr>
            </w:pPr>
            <w:r w:rsidRPr="00590747">
              <w:rPr>
                <w:rFonts w:cs="Arial"/>
                <w:b/>
                <w:bCs/>
                <w:color w:val="000000"/>
                <w:szCs w:val="24"/>
                <w:lang w:eastAsia="en-GB"/>
              </w:rPr>
              <w:t>52.843</w:t>
            </w:r>
          </w:p>
        </w:tc>
      </w:tr>
    </w:tbl>
    <w:p w14:paraId="66B56E43" w14:textId="77777777" w:rsidR="00EF055A" w:rsidRPr="00902E41" w:rsidRDefault="00EF055A" w:rsidP="00EF055A">
      <w:pPr>
        <w:autoSpaceDE w:val="0"/>
        <w:autoSpaceDN w:val="0"/>
        <w:adjustRightInd w:val="0"/>
        <w:spacing w:after="0"/>
        <w:jc w:val="both"/>
        <w:rPr>
          <w:rFonts w:eastAsia="Calibri" w:cs="Helvetica-Light"/>
          <w:b/>
          <w:color w:val="000000"/>
          <w:szCs w:val="24"/>
          <w:u w:val="single"/>
        </w:rPr>
      </w:pPr>
    </w:p>
    <w:p w14:paraId="5953F7D9" w14:textId="77777777" w:rsidR="00EF055A" w:rsidRPr="00344861" w:rsidRDefault="00EF055A" w:rsidP="00EF055A">
      <w:pPr>
        <w:autoSpaceDE w:val="0"/>
        <w:autoSpaceDN w:val="0"/>
        <w:adjustRightInd w:val="0"/>
        <w:spacing w:after="0"/>
        <w:jc w:val="both"/>
        <w:rPr>
          <w:rFonts w:eastAsia="Calibri" w:cs="Helvetica-Light"/>
          <w:i/>
          <w:color w:val="000000"/>
          <w:szCs w:val="24"/>
        </w:rPr>
      </w:pPr>
      <w:r w:rsidRPr="00344861">
        <w:rPr>
          <w:rFonts w:eastAsia="Calibri" w:cs="Helvetica-Light"/>
          <w:i/>
          <w:color w:val="000000"/>
          <w:szCs w:val="24"/>
        </w:rPr>
        <w:t>6.3 Revenue Implications</w:t>
      </w:r>
    </w:p>
    <w:p w14:paraId="0558352C" w14:textId="77777777" w:rsidR="00EF055A" w:rsidRDefault="00EF055A" w:rsidP="00EF055A">
      <w:pPr>
        <w:autoSpaceDE w:val="0"/>
        <w:autoSpaceDN w:val="0"/>
        <w:adjustRightInd w:val="0"/>
        <w:spacing w:after="0"/>
        <w:jc w:val="both"/>
        <w:rPr>
          <w:rFonts w:eastAsia="Calibri" w:cs="Helvetica-Light"/>
          <w:i/>
          <w:color w:val="000000"/>
          <w:szCs w:val="24"/>
          <w:highlight w:val="yellow"/>
        </w:rPr>
      </w:pPr>
    </w:p>
    <w:p w14:paraId="23FC9DB2" w14:textId="77777777" w:rsidR="00EF055A" w:rsidRPr="00590747" w:rsidRDefault="00EF055A" w:rsidP="00EF055A">
      <w:pPr>
        <w:jc w:val="both"/>
        <w:rPr>
          <w:rFonts w:cs="Arial"/>
          <w:szCs w:val="24"/>
        </w:rPr>
      </w:pPr>
      <w:r w:rsidRPr="00590747">
        <w:rPr>
          <w:rFonts w:cs="Arial"/>
          <w:szCs w:val="24"/>
        </w:rPr>
        <w:t xml:space="preserve">The table below identifies </w:t>
      </w:r>
      <w:r>
        <w:rPr>
          <w:rFonts w:cs="Arial"/>
          <w:szCs w:val="24"/>
        </w:rPr>
        <w:t xml:space="preserve">how </w:t>
      </w:r>
      <w:r w:rsidRPr="00590747">
        <w:rPr>
          <w:rFonts w:cs="Arial"/>
          <w:szCs w:val="24"/>
        </w:rPr>
        <w:t xml:space="preserve">the revenue budget implications for financing charges are reflected within the medium term financial strategy.  </w:t>
      </w:r>
    </w:p>
    <w:p w14:paraId="2D3A7ECC" w14:textId="77777777" w:rsidR="00EF055A" w:rsidRPr="00344861" w:rsidRDefault="00EF055A" w:rsidP="00EF055A">
      <w:pPr>
        <w:autoSpaceDE w:val="0"/>
        <w:autoSpaceDN w:val="0"/>
        <w:adjustRightInd w:val="0"/>
        <w:spacing w:after="0"/>
        <w:jc w:val="both"/>
        <w:rPr>
          <w:rFonts w:eastAsia="Calibri" w:cs="Helvetica-Light"/>
          <w:b/>
          <w:color w:val="000000"/>
          <w:szCs w:val="24"/>
          <w:u w:val="single"/>
        </w:rPr>
      </w:pPr>
      <w:r w:rsidRPr="00344861">
        <w:rPr>
          <w:rFonts w:eastAsia="Calibri" w:cs="Helvetica-Light"/>
          <w:b/>
          <w:color w:val="000000"/>
          <w:szCs w:val="24"/>
          <w:u w:val="single"/>
        </w:rPr>
        <w:t>Table 1</w:t>
      </w:r>
      <w:r>
        <w:rPr>
          <w:rFonts w:eastAsia="Calibri" w:cs="Helvetica-Light"/>
          <w:b/>
          <w:color w:val="000000"/>
          <w:szCs w:val="24"/>
          <w:u w:val="single"/>
        </w:rPr>
        <w:t>1</w:t>
      </w:r>
    </w:p>
    <w:p w14:paraId="381F1660" w14:textId="77777777" w:rsidR="00EF055A" w:rsidRPr="00344861" w:rsidRDefault="00EF055A" w:rsidP="00EF055A">
      <w:pPr>
        <w:autoSpaceDE w:val="0"/>
        <w:autoSpaceDN w:val="0"/>
        <w:adjustRightInd w:val="0"/>
        <w:spacing w:after="0"/>
        <w:jc w:val="both"/>
        <w:rPr>
          <w:rFonts w:eastAsia="Calibri" w:cs="Helvetica-Light"/>
          <w:b/>
          <w:color w:val="000000"/>
          <w:szCs w:val="24"/>
          <w:u w:val="single"/>
        </w:rPr>
      </w:pPr>
    </w:p>
    <w:tbl>
      <w:tblPr>
        <w:tblStyle w:val="TableGrid14"/>
        <w:tblW w:w="9158" w:type="dxa"/>
        <w:tblInd w:w="-142" w:type="dxa"/>
        <w:tblLook w:val="04A0" w:firstRow="1" w:lastRow="0" w:firstColumn="1" w:lastColumn="0" w:noHBand="0" w:noVBand="1"/>
      </w:tblPr>
      <w:tblGrid>
        <w:gridCol w:w="4783"/>
        <w:gridCol w:w="1461"/>
        <w:gridCol w:w="1461"/>
        <w:gridCol w:w="1453"/>
      </w:tblGrid>
      <w:tr w:rsidR="009C2438" w14:paraId="4C55B1C8" w14:textId="77777777" w:rsidTr="00EF055A">
        <w:tc>
          <w:tcPr>
            <w:tcW w:w="4783" w:type="dxa"/>
          </w:tcPr>
          <w:p w14:paraId="1BAA388B" w14:textId="77777777" w:rsidR="00EF055A" w:rsidRPr="007A60AF" w:rsidRDefault="00EF055A" w:rsidP="00EF055A">
            <w:pPr>
              <w:tabs>
                <w:tab w:val="left" w:pos="851"/>
                <w:tab w:val="left" w:pos="1418"/>
              </w:tabs>
              <w:autoSpaceDE w:val="0"/>
              <w:autoSpaceDN w:val="0"/>
              <w:adjustRightInd w:val="0"/>
              <w:spacing w:after="120"/>
              <w:jc w:val="both"/>
              <w:rPr>
                <w:rFonts w:eastAsia="Calibri" w:cs="Arial"/>
                <w:b/>
                <w:noProof/>
                <w:color w:val="000000"/>
                <w:szCs w:val="24"/>
                <w:highlight w:val="yellow"/>
              </w:rPr>
            </w:pPr>
          </w:p>
          <w:p w14:paraId="6C47F3E6" w14:textId="77777777" w:rsidR="00EF055A" w:rsidRPr="007A60AF" w:rsidRDefault="00EF055A" w:rsidP="00EF055A">
            <w:pPr>
              <w:tabs>
                <w:tab w:val="left" w:pos="851"/>
                <w:tab w:val="left" w:pos="1418"/>
              </w:tabs>
              <w:autoSpaceDE w:val="0"/>
              <w:autoSpaceDN w:val="0"/>
              <w:adjustRightInd w:val="0"/>
              <w:spacing w:after="120"/>
              <w:jc w:val="both"/>
              <w:rPr>
                <w:rFonts w:eastAsia="Calibri" w:cs="Arial"/>
                <w:b/>
                <w:noProof/>
                <w:color w:val="000000"/>
                <w:szCs w:val="24"/>
                <w:highlight w:val="yellow"/>
              </w:rPr>
            </w:pPr>
          </w:p>
        </w:tc>
        <w:tc>
          <w:tcPr>
            <w:tcW w:w="1461" w:type="dxa"/>
          </w:tcPr>
          <w:p w14:paraId="1F64C2BB" w14:textId="77777777" w:rsidR="00EF055A" w:rsidRPr="00344861" w:rsidRDefault="00EF055A" w:rsidP="00EF055A">
            <w:pPr>
              <w:tabs>
                <w:tab w:val="left" w:pos="851"/>
                <w:tab w:val="left" w:pos="1418"/>
              </w:tabs>
              <w:autoSpaceDE w:val="0"/>
              <w:autoSpaceDN w:val="0"/>
              <w:adjustRightInd w:val="0"/>
              <w:spacing w:after="120"/>
              <w:jc w:val="center"/>
              <w:rPr>
                <w:rFonts w:eastAsia="Calibri" w:cs="Arial"/>
                <w:b/>
                <w:noProof/>
                <w:color w:val="000000"/>
                <w:szCs w:val="24"/>
              </w:rPr>
            </w:pPr>
            <w:r w:rsidRPr="00344861">
              <w:rPr>
                <w:rFonts w:eastAsia="Calibri" w:cs="Arial"/>
                <w:b/>
                <w:noProof/>
                <w:color w:val="000000"/>
                <w:szCs w:val="24"/>
              </w:rPr>
              <w:t>2020/21</w:t>
            </w:r>
          </w:p>
          <w:p w14:paraId="778F434B" w14:textId="77777777" w:rsidR="00EF055A" w:rsidRPr="00344861" w:rsidRDefault="00EF055A" w:rsidP="00EF055A">
            <w:pPr>
              <w:tabs>
                <w:tab w:val="left" w:pos="851"/>
                <w:tab w:val="left" w:pos="1418"/>
              </w:tabs>
              <w:autoSpaceDE w:val="0"/>
              <w:autoSpaceDN w:val="0"/>
              <w:adjustRightInd w:val="0"/>
              <w:spacing w:after="120"/>
              <w:jc w:val="center"/>
              <w:rPr>
                <w:rFonts w:eastAsia="Calibri" w:cs="Arial"/>
                <w:b/>
                <w:noProof/>
                <w:color w:val="000000"/>
                <w:szCs w:val="24"/>
              </w:rPr>
            </w:pPr>
            <w:r w:rsidRPr="00344861">
              <w:rPr>
                <w:rFonts w:eastAsia="Calibri" w:cs="Arial"/>
                <w:b/>
                <w:noProof/>
                <w:color w:val="000000"/>
                <w:szCs w:val="24"/>
              </w:rPr>
              <w:t>£m</w:t>
            </w:r>
          </w:p>
        </w:tc>
        <w:tc>
          <w:tcPr>
            <w:tcW w:w="1461" w:type="dxa"/>
          </w:tcPr>
          <w:p w14:paraId="4E157966" w14:textId="77777777" w:rsidR="00EF055A" w:rsidRPr="00344861" w:rsidRDefault="00EF055A" w:rsidP="00EF055A">
            <w:pPr>
              <w:tabs>
                <w:tab w:val="left" w:pos="851"/>
                <w:tab w:val="left" w:pos="1418"/>
              </w:tabs>
              <w:autoSpaceDE w:val="0"/>
              <w:autoSpaceDN w:val="0"/>
              <w:adjustRightInd w:val="0"/>
              <w:spacing w:after="120"/>
              <w:jc w:val="center"/>
              <w:rPr>
                <w:rFonts w:eastAsia="Calibri" w:cs="Arial"/>
                <w:b/>
                <w:noProof/>
                <w:color w:val="000000"/>
                <w:szCs w:val="24"/>
              </w:rPr>
            </w:pPr>
            <w:r w:rsidRPr="00344861">
              <w:rPr>
                <w:rFonts w:eastAsia="Calibri" w:cs="Arial"/>
                <w:b/>
                <w:noProof/>
                <w:color w:val="000000"/>
                <w:szCs w:val="24"/>
              </w:rPr>
              <w:t>2021/22</w:t>
            </w:r>
          </w:p>
          <w:p w14:paraId="28DF204A" w14:textId="77777777" w:rsidR="00EF055A" w:rsidRPr="00344861" w:rsidRDefault="00EF055A" w:rsidP="00EF055A">
            <w:pPr>
              <w:tabs>
                <w:tab w:val="left" w:pos="851"/>
                <w:tab w:val="left" w:pos="1418"/>
              </w:tabs>
              <w:autoSpaceDE w:val="0"/>
              <w:autoSpaceDN w:val="0"/>
              <w:adjustRightInd w:val="0"/>
              <w:spacing w:after="120"/>
              <w:jc w:val="center"/>
              <w:rPr>
                <w:rFonts w:eastAsia="Calibri" w:cs="Arial"/>
                <w:b/>
                <w:noProof/>
                <w:color w:val="000000"/>
                <w:szCs w:val="24"/>
              </w:rPr>
            </w:pPr>
            <w:r w:rsidRPr="00344861">
              <w:rPr>
                <w:rFonts w:eastAsia="Calibri" w:cs="Arial"/>
                <w:b/>
                <w:noProof/>
                <w:color w:val="000000"/>
                <w:szCs w:val="24"/>
              </w:rPr>
              <w:t>£m</w:t>
            </w:r>
          </w:p>
        </w:tc>
        <w:tc>
          <w:tcPr>
            <w:tcW w:w="1453" w:type="dxa"/>
          </w:tcPr>
          <w:p w14:paraId="12E66F62" w14:textId="77777777" w:rsidR="00EF055A" w:rsidRPr="00344861" w:rsidRDefault="00EF055A" w:rsidP="00EF055A">
            <w:pPr>
              <w:tabs>
                <w:tab w:val="left" w:pos="851"/>
                <w:tab w:val="left" w:pos="1418"/>
              </w:tabs>
              <w:autoSpaceDE w:val="0"/>
              <w:autoSpaceDN w:val="0"/>
              <w:adjustRightInd w:val="0"/>
              <w:spacing w:after="120"/>
              <w:jc w:val="center"/>
              <w:rPr>
                <w:rFonts w:eastAsia="Calibri" w:cs="Arial"/>
                <w:b/>
                <w:noProof/>
                <w:color w:val="000000"/>
                <w:szCs w:val="24"/>
              </w:rPr>
            </w:pPr>
            <w:r w:rsidRPr="00344861">
              <w:rPr>
                <w:rFonts w:eastAsia="Calibri" w:cs="Arial"/>
                <w:b/>
                <w:noProof/>
                <w:color w:val="000000"/>
                <w:szCs w:val="24"/>
              </w:rPr>
              <w:t>2022/23</w:t>
            </w:r>
          </w:p>
          <w:p w14:paraId="2D4BB46E" w14:textId="77777777" w:rsidR="00EF055A" w:rsidRPr="00344861" w:rsidRDefault="00EF055A" w:rsidP="00EF055A">
            <w:pPr>
              <w:tabs>
                <w:tab w:val="left" w:pos="851"/>
                <w:tab w:val="left" w:pos="1418"/>
              </w:tabs>
              <w:autoSpaceDE w:val="0"/>
              <w:autoSpaceDN w:val="0"/>
              <w:adjustRightInd w:val="0"/>
              <w:spacing w:after="120"/>
              <w:jc w:val="center"/>
              <w:rPr>
                <w:rFonts w:eastAsia="Calibri" w:cs="Arial"/>
                <w:b/>
                <w:noProof/>
                <w:color w:val="000000"/>
                <w:szCs w:val="24"/>
              </w:rPr>
            </w:pPr>
            <w:r w:rsidRPr="00344861">
              <w:rPr>
                <w:rFonts w:eastAsia="Calibri" w:cs="Arial"/>
                <w:b/>
                <w:noProof/>
                <w:color w:val="000000"/>
                <w:szCs w:val="24"/>
              </w:rPr>
              <w:t>£m</w:t>
            </w:r>
          </w:p>
        </w:tc>
      </w:tr>
      <w:tr w:rsidR="009C2438" w14:paraId="10C38CCE" w14:textId="77777777" w:rsidTr="00EF055A">
        <w:tc>
          <w:tcPr>
            <w:tcW w:w="4783" w:type="dxa"/>
            <w:vAlign w:val="center"/>
          </w:tcPr>
          <w:p w14:paraId="0E922CFC" w14:textId="77777777" w:rsidR="00EF055A" w:rsidRPr="00344861" w:rsidRDefault="00EF055A" w:rsidP="00EF055A">
            <w:pPr>
              <w:tabs>
                <w:tab w:val="left" w:pos="851"/>
                <w:tab w:val="left" w:pos="1418"/>
              </w:tabs>
              <w:autoSpaceDE w:val="0"/>
              <w:autoSpaceDN w:val="0"/>
              <w:adjustRightInd w:val="0"/>
              <w:spacing w:after="120"/>
              <w:rPr>
                <w:rFonts w:eastAsia="Calibri" w:cs="Arial"/>
                <w:noProof/>
                <w:color w:val="000000"/>
                <w:szCs w:val="24"/>
              </w:rPr>
            </w:pPr>
            <w:r w:rsidRPr="00344861">
              <w:rPr>
                <w:rFonts w:eastAsia="Calibri" w:cs="Arial"/>
                <w:noProof/>
                <w:color w:val="000000"/>
                <w:szCs w:val="24"/>
              </w:rPr>
              <w:t>Minimum Revenue Provision</w:t>
            </w:r>
          </w:p>
        </w:tc>
        <w:tc>
          <w:tcPr>
            <w:tcW w:w="1461" w:type="dxa"/>
            <w:tcBorders>
              <w:top w:val="single" w:sz="4" w:space="0" w:color="auto"/>
              <w:left w:val="nil"/>
              <w:bottom w:val="single" w:sz="4" w:space="0" w:color="auto"/>
              <w:right w:val="single" w:sz="4" w:space="0" w:color="auto"/>
            </w:tcBorders>
            <w:shd w:val="clear" w:color="000000" w:fill="FFFFFF"/>
          </w:tcPr>
          <w:p w14:paraId="18D48588" w14:textId="77777777" w:rsidR="00EF055A" w:rsidRPr="00344861" w:rsidRDefault="00EF055A" w:rsidP="00EF055A">
            <w:pPr>
              <w:tabs>
                <w:tab w:val="left" w:pos="851"/>
                <w:tab w:val="left" w:pos="1418"/>
              </w:tabs>
              <w:autoSpaceDE w:val="0"/>
              <w:autoSpaceDN w:val="0"/>
              <w:adjustRightInd w:val="0"/>
              <w:spacing w:after="120"/>
              <w:jc w:val="right"/>
              <w:rPr>
                <w:rFonts w:eastAsia="Calibri" w:cs="Arial"/>
                <w:noProof/>
                <w:color w:val="000000"/>
                <w:szCs w:val="24"/>
              </w:rPr>
            </w:pPr>
            <w:r w:rsidRPr="00344861">
              <w:rPr>
                <w:rFonts w:cs="Arial"/>
                <w:szCs w:val="24"/>
              </w:rPr>
              <w:t>14.936</w:t>
            </w:r>
          </w:p>
        </w:tc>
        <w:tc>
          <w:tcPr>
            <w:tcW w:w="1461" w:type="dxa"/>
            <w:tcBorders>
              <w:top w:val="single" w:sz="4" w:space="0" w:color="auto"/>
              <w:left w:val="nil"/>
              <w:bottom w:val="single" w:sz="4" w:space="0" w:color="auto"/>
              <w:right w:val="single" w:sz="4" w:space="0" w:color="auto"/>
            </w:tcBorders>
            <w:shd w:val="clear" w:color="000000" w:fill="FFFFFF"/>
          </w:tcPr>
          <w:p w14:paraId="2C137EE9" w14:textId="77777777" w:rsidR="00EF055A" w:rsidRPr="00344861" w:rsidRDefault="00EF055A" w:rsidP="00EF055A">
            <w:pPr>
              <w:tabs>
                <w:tab w:val="left" w:pos="851"/>
                <w:tab w:val="left" w:pos="1418"/>
              </w:tabs>
              <w:autoSpaceDE w:val="0"/>
              <w:autoSpaceDN w:val="0"/>
              <w:adjustRightInd w:val="0"/>
              <w:spacing w:after="120"/>
              <w:jc w:val="right"/>
              <w:rPr>
                <w:rFonts w:eastAsia="Calibri" w:cs="Arial"/>
                <w:noProof/>
                <w:color w:val="000000"/>
                <w:szCs w:val="24"/>
              </w:rPr>
            </w:pPr>
            <w:r w:rsidRPr="00344861">
              <w:rPr>
                <w:rFonts w:cs="Arial"/>
                <w:szCs w:val="24"/>
              </w:rPr>
              <w:t>16.316</w:t>
            </w:r>
          </w:p>
        </w:tc>
        <w:tc>
          <w:tcPr>
            <w:tcW w:w="1453" w:type="dxa"/>
            <w:tcBorders>
              <w:top w:val="single" w:sz="4" w:space="0" w:color="auto"/>
              <w:left w:val="nil"/>
              <w:bottom w:val="single" w:sz="4" w:space="0" w:color="auto"/>
              <w:right w:val="single" w:sz="4" w:space="0" w:color="auto"/>
            </w:tcBorders>
            <w:shd w:val="clear" w:color="000000" w:fill="FFFFFF"/>
          </w:tcPr>
          <w:p w14:paraId="02F87595" w14:textId="77777777" w:rsidR="00EF055A" w:rsidRPr="00344861" w:rsidRDefault="00EF055A" w:rsidP="00EF055A">
            <w:pPr>
              <w:tabs>
                <w:tab w:val="left" w:pos="851"/>
                <w:tab w:val="left" w:pos="1418"/>
              </w:tabs>
              <w:autoSpaceDE w:val="0"/>
              <w:autoSpaceDN w:val="0"/>
              <w:adjustRightInd w:val="0"/>
              <w:spacing w:after="120"/>
              <w:jc w:val="right"/>
            </w:pPr>
            <w:r w:rsidRPr="00344861">
              <w:rPr>
                <w:rFonts w:cs="Arial"/>
                <w:szCs w:val="24"/>
              </w:rPr>
              <w:t>17.389</w:t>
            </w:r>
          </w:p>
        </w:tc>
      </w:tr>
      <w:tr w:rsidR="009C2438" w14:paraId="79F2F161" w14:textId="77777777" w:rsidTr="00EF055A">
        <w:tc>
          <w:tcPr>
            <w:tcW w:w="4783" w:type="dxa"/>
            <w:vAlign w:val="center"/>
          </w:tcPr>
          <w:p w14:paraId="38FD6CBE" w14:textId="77777777" w:rsidR="00EF055A" w:rsidRPr="00344861" w:rsidRDefault="00EF055A" w:rsidP="00EF055A">
            <w:pPr>
              <w:tabs>
                <w:tab w:val="left" w:pos="851"/>
                <w:tab w:val="left" w:pos="1418"/>
              </w:tabs>
              <w:autoSpaceDE w:val="0"/>
              <w:autoSpaceDN w:val="0"/>
              <w:adjustRightInd w:val="0"/>
              <w:spacing w:after="120"/>
              <w:rPr>
                <w:rFonts w:eastAsia="Calibri" w:cs="Arial"/>
                <w:noProof/>
                <w:color w:val="000000"/>
                <w:szCs w:val="24"/>
              </w:rPr>
            </w:pPr>
            <w:r w:rsidRPr="00344861">
              <w:rPr>
                <w:rFonts w:eastAsia="Calibri" w:cs="Arial"/>
                <w:noProof/>
                <w:color w:val="000000"/>
                <w:szCs w:val="24"/>
              </w:rPr>
              <w:t>Interest Paid</w:t>
            </w:r>
          </w:p>
        </w:tc>
        <w:tc>
          <w:tcPr>
            <w:tcW w:w="1461" w:type="dxa"/>
            <w:tcBorders>
              <w:top w:val="single" w:sz="4" w:space="0" w:color="auto"/>
              <w:left w:val="nil"/>
              <w:bottom w:val="single" w:sz="4" w:space="0" w:color="auto"/>
              <w:right w:val="single" w:sz="4" w:space="0" w:color="auto"/>
            </w:tcBorders>
            <w:shd w:val="clear" w:color="000000" w:fill="FFFFFF"/>
          </w:tcPr>
          <w:p w14:paraId="6D417E73" w14:textId="77777777" w:rsidR="00EF055A" w:rsidRPr="00344861" w:rsidRDefault="00EF055A" w:rsidP="00EF055A">
            <w:pPr>
              <w:tabs>
                <w:tab w:val="left" w:pos="851"/>
                <w:tab w:val="left" w:pos="1418"/>
              </w:tabs>
              <w:autoSpaceDE w:val="0"/>
              <w:autoSpaceDN w:val="0"/>
              <w:adjustRightInd w:val="0"/>
              <w:spacing w:after="120"/>
              <w:jc w:val="right"/>
              <w:rPr>
                <w:rFonts w:eastAsia="Calibri" w:cs="Arial"/>
                <w:noProof/>
                <w:color w:val="000000"/>
                <w:szCs w:val="24"/>
              </w:rPr>
            </w:pPr>
            <w:r w:rsidRPr="00344861">
              <w:rPr>
                <w:rFonts w:cs="Arial"/>
                <w:szCs w:val="24"/>
              </w:rPr>
              <w:t>24.962</w:t>
            </w:r>
          </w:p>
        </w:tc>
        <w:tc>
          <w:tcPr>
            <w:tcW w:w="1461" w:type="dxa"/>
            <w:tcBorders>
              <w:top w:val="single" w:sz="4" w:space="0" w:color="auto"/>
              <w:left w:val="nil"/>
              <w:bottom w:val="single" w:sz="4" w:space="0" w:color="auto"/>
              <w:right w:val="single" w:sz="4" w:space="0" w:color="auto"/>
            </w:tcBorders>
            <w:shd w:val="clear" w:color="000000" w:fill="FFFFFF"/>
          </w:tcPr>
          <w:p w14:paraId="049D0249" w14:textId="77777777" w:rsidR="00EF055A" w:rsidRPr="00344861" w:rsidRDefault="00EF055A" w:rsidP="00EF055A">
            <w:pPr>
              <w:tabs>
                <w:tab w:val="left" w:pos="851"/>
                <w:tab w:val="left" w:pos="1418"/>
              </w:tabs>
              <w:autoSpaceDE w:val="0"/>
              <w:autoSpaceDN w:val="0"/>
              <w:adjustRightInd w:val="0"/>
              <w:spacing w:after="120"/>
              <w:jc w:val="right"/>
              <w:rPr>
                <w:rFonts w:eastAsia="Calibri" w:cs="Arial"/>
                <w:noProof/>
                <w:color w:val="000000"/>
                <w:szCs w:val="24"/>
              </w:rPr>
            </w:pPr>
            <w:r w:rsidRPr="00344861">
              <w:rPr>
                <w:rFonts w:cs="Arial"/>
                <w:szCs w:val="24"/>
              </w:rPr>
              <w:t>24.768</w:t>
            </w:r>
          </w:p>
        </w:tc>
        <w:tc>
          <w:tcPr>
            <w:tcW w:w="1453" w:type="dxa"/>
            <w:tcBorders>
              <w:top w:val="single" w:sz="4" w:space="0" w:color="auto"/>
              <w:left w:val="nil"/>
              <w:bottom w:val="single" w:sz="4" w:space="0" w:color="auto"/>
              <w:right w:val="single" w:sz="4" w:space="0" w:color="auto"/>
            </w:tcBorders>
            <w:shd w:val="clear" w:color="000000" w:fill="FFFFFF"/>
          </w:tcPr>
          <w:p w14:paraId="166D4B6A" w14:textId="77777777" w:rsidR="00EF055A" w:rsidRPr="00344861" w:rsidRDefault="00EF055A" w:rsidP="00EF055A">
            <w:pPr>
              <w:tabs>
                <w:tab w:val="left" w:pos="851"/>
                <w:tab w:val="left" w:pos="1418"/>
              </w:tabs>
              <w:autoSpaceDE w:val="0"/>
              <w:autoSpaceDN w:val="0"/>
              <w:adjustRightInd w:val="0"/>
              <w:spacing w:after="120"/>
              <w:jc w:val="right"/>
            </w:pPr>
            <w:r w:rsidRPr="00344861">
              <w:rPr>
                <w:rFonts w:cs="Arial"/>
                <w:szCs w:val="24"/>
              </w:rPr>
              <w:t>23.104</w:t>
            </w:r>
          </w:p>
        </w:tc>
      </w:tr>
      <w:tr w:rsidR="009C2438" w14:paraId="77D6D9CE" w14:textId="77777777" w:rsidTr="00EF055A">
        <w:tc>
          <w:tcPr>
            <w:tcW w:w="4783" w:type="dxa"/>
            <w:vAlign w:val="center"/>
          </w:tcPr>
          <w:p w14:paraId="78230833" w14:textId="77777777" w:rsidR="00EF055A" w:rsidRPr="00344861" w:rsidRDefault="00EF055A" w:rsidP="00EF055A">
            <w:pPr>
              <w:tabs>
                <w:tab w:val="left" w:pos="851"/>
                <w:tab w:val="left" w:pos="1418"/>
              </w:tabs>
              <w:autoSpaceDE w:val="0"/>
              <w:autoSpaceDN w:val="0"/>
              <w:adjustRightInd w:val="0"/>
              <w:spacing w:after="120"/>
              <w:rPr>
                <w:rFonts w:eastAsia="Calibri" w:cs="Arial"/>
                <w:noProof/>
                <w:color w:val="000000"/>
                <w:szCs w:val="24"/>
              </w:rPr>
            </w:pPr>
            <w:r w:rsidRPr="00344861">
              <w:rPr>
                <w:rFonts w:eastAsia="Calibri" w:cs="Arial"/>
                <w:noProof/>
                <w:color w:val="000000"/>
                <w:szCs w:val="24"/>
              </w:rPr>
              <w:t>Grants Received</w:t>
            </w:r>
          </w:p>
        </w:tc>
        <w:tc>
          <w:tcPr>
            <w:tcW w:w="1461" w:type="dxa"/>
            <w:tcBorders>
              <w:top w:val="single" w:sz="4" w:space="0" w:color="auto"/>
              <w:left w:val="nil"/>
              <w:bottom w:val="single" w:sz="4" w:space="0" w:color="auto"/>
              <w:right w:val="single" w:sz="4" w:space="0" w:color="auto"/>
            </w:tcBorders>
            <w:shd w:val="clear" w:color="000000" w:fill="FFFFFF"/>
          </w:tcPr>
          <w:p w14:paraId="72FE975E" w14:textId="77777777" w:rsidR="00EF055A" w:rsidRPr="007A60AF" w:rsidRDefault="00EF055A" w:rsidP="00EF055A">
            <w:pPr>
              <w:tabs>
                <w:tab w:val="left" w:pos="851"/>
                <w:tab w:val="left" w:pos="1418"/>
              </w:tabs>
              <w:autoSpaceDE w:val="0"/>
              <w:autoSpaceDN w:val="0"/>
              <w:adjustRightInd w:val="0"/>
              <w:spacing w:after="120"/>
              <w:jc w:val="right"/>
              <w:rPr>
                <w:rFonts w:eastAsia="Calibri" w:cs="Arial"/>
                <w:noProof/>
                <w:color w:val="000000"/>
                <w:szCs w:val="24"/>
                <w:highlight w:val="yellow"/>
              </w:rPr>
            </w:pPr>
            <w:r>
              <w:rPr>
                <w:rFonts w:cs="Arial"/>
                <w:szCs w:val="24"/>
              </w:rPr>
              <w:t>-0.200</w:t>
            </w:r>
          </w:p>
        </w:tc>
        <w:tc>
          <w:tcPr>
            <w:tcW w:w="1461" w:type="dxa"/>
            <w:tcBorders>
              <w:top w:val="single" w:sz="4" w:space="0" w:color="auto"/>
              <w:left w:val="nil"/>
              <w:bottom w:val="single" w:sz="4" w:space="0" w:color="auto"/>
              <w:right w:val="single" w:sz="4" w:space="0" w:color="auto"/>
            </w:tcBorders>
            <w:shd w:val="clear" w:color="000000" w:fill="FFFFFF"/>
          </w:tcPr>
          <w:p w14:paraId="2C01E151" w14:textId="77777777" w:rsidR="00EF055A" w:rsidRPr="007A60AF" w:rsidRDefault="00EF055A" w:rsidP="00EF055A">
            <w:pPr>
              <w:tabs>
                <w:tab w:val="left" w:pos="851"/>
                <w:tab w:val="left" w:pos="1418"/>
              </w:tabs>
              <w:autoSpaceDE w:val="0"/>
              <w:autoSpaceDN w:val="0"/>
              <w:adjustRightInd w:val="0"/>
              <w:spacing w:after="120"/>
              <w:jc w:val="right"/>
              <w:rPr>
                <w:rFonts w:eastAsia="Calibri" w:cs="Arial"/>
                <w:noProof/>
                <w:color w:val="000000"/>
                <w:szCs w:val="24"/>
                <w:highlight w:val="yellow"/>
              </w:rPr>
            </w:pPr>
            <w:r>
              <w:rPr>
                <w:rFonts w:cs="Arial"/>
                <w:szCs w:val="24"/>
              </w:rPr>
              <w:t>-0.200</w:t>
            </w:r>
          </w:p>
        </w:tc>
        <w:tc>
          <w:tcPr>
            <w:tcW w:w="1453" w:type="dxa"/>
            <w:tcBorders>
              <w:top w:val="single" w:sz="4" w:space="0" w:color="auto"/>
              <w:left w:val="nil"/>
              <w:bottom w:val="single" w:sz="4" w:space="0" w:color="auto"/>
              <w:right w:val="single" w:sz="4" w:space="0" w:color="auto"/>
            </w:tcBorders>
            <w:shd w:val="clear" w:color="000000" w:fill="FFFFFF"/>
          </w:tcPr>
          <w:p w14:paraId="5F2DB71E" w14:textId="77777777" w:rsidR="00EF055A" w:rsidRPr="007A60AF" w:rsidRDefault="00EF055A" w:rsidP="00EF055A">
            <w:pPr>
              <w:tabs>
                <w:tab w:val="left" w:pos="851"/>
                <w:tab w:val="left" w:pos="1418"/>
              </w:tabs>
              <w:autoSpaceDE w:val="0"/>
              <w:autoSpaceDN w:val="0"/>
              <w:adjustRightInd w:val="0"/>
              <w:spacing w:after="120"/>
              <w:jc w:val="right"/>
              <w:rPr>
                <w:highlight w:val="yellow"/>
              </w:rPr>
            </w:pPr>
            <w:r>
              <w:rPr>
                <w:rFonts w:cs="Arial"/>
                <w:szCs w:val="24"/>
              </w:rPr>
              <w:t>-0.200</w:t>
            </w:r>
          </w:p>
        </w:tc>
      </w:tr>
      <w:tr w:rsidR="009C2438" w14:paraId="65DA42AD" w14:textId="77777777" w:rsidTr="00EF055A">
        <w:tc>
          <w:tcPr>
            <w:tcW w:w="4783" w:type="dxa"/>
            <w:vAlign w:val="center"/>
          </w:tcPr>
          <w:p w14:paraId="086EA0DC" w14:textId="77777777" w:rsidR="00EF055A" w:rsidRPr="007A60AF" w:rsidRDefault="00EF055A" w:rsidP="00EF055A">
            <w:pPr>
              <w:tabs>
                <w:tab w:val="left" w:pos="851"/>
                <w:tab w:val="left" w:pos="1418"/>
              </w:tabs>
              <w:autoSpaceDE w:val="0"/>
              <w:autoSpaceDN w:val="0"/>
              <w:adjustRightInd w:val="0"/>
              <w:spacing w:after="120"/>
              <w:rPr>
                <w:rFonts w:eastAsia="Calibri" w:cs="Arial"/>
                <w:b/>
                <w:noProof/>
                <w:color w:val="000000"/>
                <w:szCs w:val="24"/>
                <w:highlight w:val="yellow"/>
              </w:rPr>
            </w:pPr>
            <w:r w:rsidRPr="00344861">
              <w:rPr>
                <w:rFonts w:eastAsia="Calibri" w:cs="Arial"/>
                <w:b/>
                <w:noProof/>
                <w:color w:val="000000"/>
                <w:szCs w:val="24"/>
              </w:rPr>
              <w:t>Total</w:t>
            </w:r>
          </w:p>
        </w:tc>
        <w:tc>
          <w:tcPr>
            <w:tcW w:w="1461" w:type="dxa"/>
            <w:tcBorders>
              <w:top w:val="single" w:sz="4" w:space="0" w:color="auto"/>
              <w:left w:val="nil"/>
              <w:bottom w:val="single" w:sz="4" w:space="0" w:color="auto"/>
              <w:right w:val="single" w:sz="4" w:space="0" w:color="auto"/>
            </w:tcBorders>
            <w:shd w:val="clear" w:color="auto" w:fill="auto"/>
          </w:tcPr>
          <w:p w14:paraId="171DD67D" w14:textId="77777777" w:rsidR="00EF055A" w:rsidRPr="007A60AF" w:rsidRDefault="00EF055A" w:rsidP="00EF055A">
            <w:pPr>
              <w:tabs>
                <w:tab w:val="left" w:pos="851"/>
                <w:tab w:val="left" w:pos="1418"/>
              </w:tabs>
              <w:autoSpaceDE w:val="0"/>
              <w:autoSpaceDN w:val="0"/>
              <w:adjustRightInd w:val="0"/>
              <w:spacing w:after="120"/>
              <w:jc w:val="right"/>
              <w:rPr>
                <w:rFonts w:eastAsia="Calibri" w:cs="Arial"/>
                <w:b/>
                <w:noProof/>
                <w:color w:val="000000"/>
                <w:szCs w:val="24"/>
                <w:highlight w:val="yellow"/>
              </w:rPr>
            </w:pPr>
            <w:r>
              <w:rPr>
                <w:rFonts w:cs="Arial"/>
                <w:b/>
                <w:szCs w:val="24"/>
              </w:rPr>
              <w:t>39.698</w:t>
            </w:r>
          </w:p>
        </w:tc>
        <w:tc>
          <w:tcPr>
            <w:tcW w:w="1461" w:type="dxa"/>
            <w:tcBorders>
              <w:top w:val="single" w:sz="4" w:space="0" w:color="auto"/>
              <w:left w:val="nil"/>
              <w:bottom w:val="single" w:sz="4" w:space="0" w:color="auto"/>
              <w:right w:val="single" w:sz="4" w:space="0" w:color="auto"/>
            </w:tcBorders>
            <w:shd w:val="clear" w:color="auto" w:fill="auto"/>
          </w:tcPr>
          <w:p w14:paraId="6EBA4695" w14:textId="77777777" w:rsidR="00EF055A" w:rsidRPr="007A60AF" w:rsidRDefault="00EF055A" w:rsidP="00EF055A">
            <w:pPr>
              <w:tabs>
                <w:tab w:val="left" w:pos="851"/>
                <w:tab w:val="left" w:pos="1418"/>
              </w:tabs>
              <w:autoSpaceDE w:val="0"/>
              <w:autoSpaceDN w:val="0"/>
              <w:adjustRightInd w:val="0"/>
              <w:spacing w:after="120"/>
              <w:jc w:val="right"/>
              <w:rPr>
                <w:rFonts w:eastAsia="Calibri" w:cs="Arial"/>
                <w:b/>
                <w:noProof/>
                <w:color w:val="000000"/>
                <w:szCs w:val="24"/>
                <w:highlight w:val="yellow"/>
              </w:rPr>
            </w:pPr>
            <w:r>
              <w:rPr>
                <w:rFonts w:cs="Arial"/>
                <w:b/>
                <w:szCs w:val="24"/>
              </w:rPr>
              <w:t>40.884</w:t>
            </w:r>
          </w:p>
        </w:tc>
        <w:tc>
          <w:tcPr>
            <w:tcW w:w="1453" w:type="dxa"/>
            <w:tcBorders>
              <w:top w:val="single" w:sz="4" w:space="0" w:color="auto"/>
              <w:left w:val="nil"/>
              <w:bottom w:val="single" w:sz="4" w:space="0" w:color="auto"/>
              <w:right w:val="single" w:sz="4" w:space="0" w:color="auto"/>
            </w:tcBorders>
          </w:tcPr>
          <w:p w14:paraId="7B32C5C6" w14:textId="77777777" w:rsidR="00EF055A" w:rsidRPr="007A60AF" w:rsidRDefault="00EF055A" w:rsidP="00EF055A">
            <w:pPr>
              <w:tabs>
                <w:tab w:val="left" w:pos="851"/>
                <w:tab w:val="left" w:pos="1418"/>
              </w:tabs>
              <w:autoSpaceDE w:val="0"/>
              <w:autoSpaceDN w:val="0"/>
              <w:adjustRightInd w:val="0"/>
              <w:spacing w:after="120"/>
              <w:jc w:val="right"/>
              <w:rPr>
                <w:b/>
                <w:highlight w:val="yellow"/>
              </w:rPr>
            </w:pPr>
            <w:r>
              <w:rPr>
                <w:rFonts w:cs="Arial"/>
                <w:b/>
                <w:szCs w:val="24"/>
              </w:rPr>
              <w:t>40.293</w:t>
            </w:r>
          </w:p>
        </w:tc>
      </w:tr>
    </w:tbl>
    <w:p w14:paraId="013CC988" w14:textId="77777777" w:rsidR="00EF055A" w:rsidRPr="007A60AF" w:rsidRDefault="00EF055A" w:rsidP="00EF055A">
      <w:pPr>
        <w:autoSpaceDE w:val="0"/>
        <w:autoSpaceDN w:val="0"/>
        <w:adjustRightInd w:val="0"/>
        <w:spacing w:after="0"/>
        <w:jc w:val="both"/>
        <w:rPr>
          <w:rFonts w:eastAsia="Calibri" w:cs="Helvetica-Light"/>
          <w:color w:val="000000"/>
          <w:szCs w:val="24"/>
          <w:highlight w:val="yellow"/>
        </w:rPr>
      </w:pPr>
    </w:p>
    <w:p w14:paraId="140C225A" w14:textId="77777777" w:rsidR="00EF055A" w:rsidRPr="00590747" w:rsidRDefault="00EF055A" w:rsidP="00EF055A">
      <w:pPr>
        <w:jc w:val="both"/>
        <w:rPr>
          <w:rFonts w:cs="Arial"/>
          <w:szCs w:val="24"/>
        </w:rPr>
      </w:pPr>
      <w:r w:rsidRPr="00590747">
        <w:rPr>
          <w:rFonts w:cs="Arial"/>
          <w:szCs w:val="24"/>
        </w:rPr>
        <w:t xml:space="preserve">The </w:t>
      </w:r>
      <w:r>
        <w:rPr>
          <w:rFonts w:cs="Arial"/>
          <w:szCs w:val="24"/>
        </w:rPr>
        <w:t>r</w:t>
      </w:r>
      <w:r w:rsidRPr="00590747">
        <w:rPr>
          <w:rFonts w:cs="Arial"/>
          <w:szCs w:val="24"/>
        </w:rPr>
        <w:t xml:space="preserve">evenue budget above reflects a position which takes account of the views of both internal and external advisers, particularly in relation to interest rate movements.  Provision has also been made for changing some of the borrowing to a long term fixed rate rather than the existing short term rates in 2020/21. </w:t>
      </w:r>
    </w:p>
    <w:p w14:paraId="308E9629" w14:textId="77777777" w:rsidR="00EF055A" w:rsidRPr="007A60AF" w:rsidRDefault="00EF055A" w:rsidP="00EF055A">
      <w:pPr>
        <w:autoSpaceDE w:val="0"/>
        <w:autoSpaceDN w:val="0"/>
        <w:adjustRightInd w:val="0"/>
        <w:spacing w:after="0"/>
        <w:jc w:val="both"/>
        <w:rPr>
          <w:rFonts w:eastAsia="Calibri" w:cs="Helvetica-Light"/>
          <w:color w:val="000000"/>
          <w:szCs w:val="24"/>
          <w:highlight w:val="yellow"/>
        </w:rPr>
      </w:pPr>
    </w:p>
    <w:p w14:paraId="69238277" w14:textId="77777777" w:rsidR="00EF055A" w:rsidRPr="00197B74" w:rsidRDefault="00EF055A" w:rsidP="00EF055A">
      <w:pPr>
        <w:autoSpaceDE w:val="0"/>
        <w:autoSpaceDN w:val="0"/>
        <w:adjustRightInd w:val="0"/>
        <w:spacing w:after="0"/>
        <w:jc w:val="both"/>
        <w:rPr>
          <w:rFonts w:eastAsia="Calibri" w:cs="Helvetica-Light"/>
          <w:color w:val="000000"/>
          <w:szCs w:val="24"/>
        </w:rPr>
      </w:pPr>
      <w:r w:rsidRPr="00197B74">
        <w:rPr>
          <w:rFonts w:eastAsia="Calibri" w:cs="Helvetica-Light"/>
          <w:color w:val="000000"/>
          <w:szCs w:val="24"/>
        </w:rPr>
        <w:t xml:space="preserve">The position will be closely monitored by the Director of Finance and any changes will be reflected in forecasts presented to cabinet. </w:t>
      </w:r>
    </w:p>
    <w:p w14:paraId="1250F014" w14:textId="77777777" w:rsidR="00EF055A" w:rsidRPr="00D83828" w:rsidRDefault="00EF055A" w:rsidP="00EF055A">
      <w:pPr>
        <w:spacing w:after="0"/>
        <w:jc w:val="both"/>
        <w:rPr>
          <w:rFonts w:cs="Arial"/>
          <w:b/>
          <w:szCs w:val="24"/>
        </w:rPr>
      </w:pPr>
      <w:r w:rsidRPr="00197B74">
        <w:rPr>
          <w:rFonts w:cs="Arial"/>
          <w:b/>
          <w:bCs/>
          <w:szCs w:val="24"/>
        </w:rPr>
        <w:lastRenderedPageBreak/>
        <w:t xml:space="preserve">7. Council Tax for </w:t>
      </w:r>
      <w:r w:rsidRPr="00D83828">
        <w:rPr>
          <w:rFonts w:cs="Arial"/>
          <w:b/>
          <w:bCs/>
          <w:szCs w:val="24"/>
        </w:rPr>
        <w:t>2020/21</w:t>
      </w:r>
    </w:p>
    <w:p w14:paraId="4616ED28" w14:textId="77777777" w:rsidR="00EF055A" w:rsidRPr="007A60AF" w:rsidRDefault="00EF055A" w:rsidP="00EF055A">
      <w:pPr>
        <w:spacing w:after="0"/>
        <w:jc w:val="both"/>
        <w:rPr>
          <w:rFonts w:cs="Arial"/>
          <w:b/>
          <w:bCs/>
          <w:szCs w:val="24"/>
          <w:highlight w:val="yellow"/>
        </w:rPr>
      </w:pPr>
    </w:p>
    <w:p w14:paraId="7894F2B7" w14:textId="77777777" w:rsidR="00EF055A" w:rsidRPr="00CE65F0" w:rsidRDefault="00EF055A" w:rsidP="00EF055A">
      <w:pPr>
        <w:spacing w:after="0"/>
        <w:jc w:val="both"/>
        <w:rPr>
          <w:rFonts w:cs="Arial"/>
          <w:szCs w:val="24"/>
        </w:rPr>
      </w:pPr>
      <w:r w:rsidRPr="00CE65F0">
        <w:rPr>
          <w:rFonts w:cs="Arial"/>
          <w:szCs w:val="24"/>
        </w:rPr>
        <w:t xml:space="preserve">The recommendation of the cabinet to full council on the council tax requirement is that the band D council tax for 2020/21 be increased by 3.99% which includes the 2% social care precept. The impact of these increases are: </w:t>
      </w:r>
    </w:p>
    <w:p w14:paraId="053058DC" w14:textId="77777777" w:rsidR="00EF055A" w:rsidRPr="007A60AF" w:rsidRDefault="00EF055A" w:rsidP="00EF055A">
      <w:pPr>
        <w:spacing w:after="0"/>
        <w:jc w:val="both"/>
        <w:rPr>
          <w:rFonts w:cs="Arial"/>
          <w:szCs w:val="24"/>
          <w:highlight w:val="yellow"/>
        </w:rPr>
      </w:pPr>
    </w:p>
    <w:p w14:paraId="2ACDA57F" w14:textId="77777777" w:rsidR="00EF055A" w:rsidRPr="00CE65F0" w:rsidRDefault="00EF055A" w:rsidP="00EF055A">
      <w:pPr>
        <w:spacing w:after="0"/>
        <w:jc w:val="both"/>
        <w:rPr>
          <w:rFonts w:cs="Arial"/>
          <w:b/>
          <w:szCs w:val="24"/>
          <w:u w:val="single"/>
        </w:rPr>
      </w:pPr>
      <w:r w:rsidRPr="00CE65F0">
        <w:rPr>
          <w:rFonts w:cs="Arial"/>
          <w:b/>
          <w:szCs w:val="24"/>
          <w:u w:val="single"/>
        </w:rPr>
        <w:t>Table 1</w:t>
      </w:r>
      <w:r>
        <w:rPr>
          <w:rFonts w:cs="Arial"/>
          <w:b/>
          <w:szCs w:val="24"/>
          <w:u w:val="single"/>
        </w:rPr>
        <w:t>2</w:t>
      </w:r>
    </w:p>
    <w:p w14:paraId="2E52CE1B" w14:textId="77777777" w:rsidR="00EF055A" w:rsidRPr="007A60AF" w:rsidRDefault="00EF055A" w:rsidP="00EF055A">
      <w:pPr>
        <w:spacing w:after="0"/>
        <w:jc w:val="both"/>
        <w:rPr>
          <w:rFonts w:cs="Arial"/>
          <w:b/>
          <w:szCs w:val="24"/>
          <w:highlight w:val="yellow"/>
          <w:u w:val="single"/>
        </w:rPr>
      </w:pPr>
    </w:p>
    <w:tbl>
      <w:tblPr>
        <w:tblStyle w:val="TableGrid"/>
        <w:tblW w:w="0" w:type="auto"/>
        <w:tblLook w:val="04A0" w:firstRow="1" w:lastRow="0" w:firstColumn="1" w:lastColumn="0" w:noHBand="0" w:noVBand="1"/>
      </w:tblPr>
      <w:tblGrid>
        <w:gridCol w:w="4165"/>
        <w:gridCol w:w="2152"/>
        <w:gridCol w:w="2237"/>
      </w:tblGrid>
      <w:tr w:rsidR="009C2438" w14:paraId="623E73D0" w14:textId="77777777" w:rsidTr="00EF055A">
        <w:trPr>
          <w:trHeight w:val="471"/>
        </w:trPr>
        <w:tc>
          <w:tcPr>
            <w:tcW w:w="4165" w:type="dxa"/>
            <w:shd w:val="clear" w:color="auto" w:fill="BFBFBF" w:themeFill="background1" w:themeFillShade="BF"/>
          </w:tcPr>
          <w:p w14:paraId="39B9BAE6" w14:textId="77777777" w:rsidR="00EF055A" w:rsidRPr="00CE65F0" w:rsidRDefault="00EF055A" w:rsidP="00EF055A">
            <w:pPr>
              <w:jc w:val="both"/>
              <w:rPr>
                <w:rFonts w:cs="Arial"/>
                <w:b/>
                <w:szCs w:val="24"/>
              </w:rPr>
            </w:pPr>
          </w:p>
        </w:tc>
        <w:tc>
          <w:tcPr>
            <w:tcW w:w="2152" w:type="dxa"/>
            <w:shd w:val="clear" w:color="auto" w:fill="BFBFBF" w:themeFill="background1" w:themeFillShade="BF"/>
            <w:vAlign w:val="center"/>
          </w:tcPr>
          <w:p w14:paraId="2543E246" w14:textId="77777777" w:rsidR="00EF055A" w:rsidRPr="00CE65F0" w:rsidRDefault="00EF055A" w:rsidP="00EF055A">
            <w:pPr>
              <w:jc w:val="center"/>
              <w:rPr>
                <w:rFonts w:cs="Arial"/>
                <w:b/>
                <w:szCs w:val="24"/>
              </w:rPr>
            </w:pPr>
            <w:r w:rsidRPr="00CE65F0">
              <w:rPr>
                <w:rFonts w:cs="Arial"/>
                <w:b/>
                <w:szCs w:val="24"/>
              </w:rPr>
              <w:t>Band D Council Tax</w:t>
            </w:r>
          </w:p>
        </w:tc>
        <w:tc>
          <w:tcPr>
            <w:tcW w:w="2237" w:type="dxa"/>
            <w:shd w:val="clear" w:color="auto" w:fill="BFBFBF" w:themeFill="background1" w:themeFillShade="BF"/>
            <w:vAlign w:val="center"/>
          </w:tcPr>
          <w:p w14:paraId="384C4D4E" w14:textId="77777777" w:rsidR="00EF055A" w:rsidRPr="00CE65F0" w:rsidRDefault="00EF055A" w:rsidP="00EF055A">
            <w:pPr>
              <w:jc w:val="center"/>
              <w:rPr>
                <w:rFonts w:cs="Arial"/>
                <w:b/>
                <w:szCs w:val="24"/>
              </w:rPr>
            </w:pPr>
            <w:r w:rsidRPr="00CE65F0">
              <w:rPr>
                <w:rFonts w:cs="Arial"/>
                <w:b/>
                <w:szCs w:val="24"/>
              </w:rPr>
              <w:t>Council Tax income</w:t>
            </w:r>
          </w:p>
        </w:tc>
      </w:tr>
      <w:tr w:rsidR="009C2438" w14:paraId="61780ACA" w14:textId="77777777" w:rsidTr="00EF055A">
        <w:trPr>
          <w:trHeight w:val="405"/>
        </w:trPr>
        <w:tc>
          <w:tcPr>
            <w:tcW w:w="4165" w:type="dxa"/>
            <w:vAlign w:val="center"/>
          </w:tcPr>
          <w:p w14:paraId="10EDE189" w14:textId="77777777" w:rsidR="00EF055A" w:rsidRPr="002C1D5C" w:rsidRDefault="00EF055A" w:rsidP="00EF055A">
            <w:pPr>
              <w:jc w:val="both"/>
              <w:rPr>
                <w:rFonts w:cs="Arial"/>
                <w:szCs w:val="24"/>
              </w:rPr>
            </w:pPr>
            <w:r w:rsidRPr="002C1D5C">
              <w:rPr>
                <w:rFonts w:cs="Arial"/>
                <w:szCs w:val="24"/>
              </w:rPr>
              <w:t>Adult Social Care Precept increase at 2%</w:t>
            </w:r>
          </w:p>
        </w:tc>
        <w:tc>
          <w:tcPr>
            <w:tcW w:w="2152" w:type="dxa"/>
            <w:vAlign w:val="center"/>
          </w:tcPr>
          <w:p w14:paraId="10F1F8A0" w14:textId="77777777" w:rsidR="00EF055A" w:rsidRPr="002C1D5C" w:rsidRDefault="00EF055A" w:rsidP="00EF055A">
            <w:pPr>
              <w:jc w:val="center"/>
              <w:rPr>
                <w:rFonts w:cs="Arial"/>
                <w:szCs w:val="24"/>
              </w:rPr>
            </w:pPr>
            <w:r w:rsidRPr="002C1D5C">
              <w:rPr>
                <w:rFonts w:cs="Arial"/>
                <w:szCs w:val="24"/>
              </w:rPr>
              <w:t>£26.93</w:t>
            </w:r>
          </w:p>
        </w:tc>
        <w:tc>
          <w:tcPr>
            <w:tcW w:w="2237" w:type="dxa"/>
            <w:shd w:val="clear" w:color="auto" w:fill="auto"/>
            <w:vAlign w:val="center"/>
          </w:tcPr>
          <w:p w14:paraId="2DDBB9EA" w14:textId="77777777" w:rsidR="00EF055A" w:rsidRPr="002C1D5C" w:rsidRDefault="00EF055A" w:rsidP="00EF055A">
            <w:pPr>
              <w:jc w:val="center"/>
              <w:rPr>
                <w:rFonts w:cs="Arial"/>
                <w:szCs w:val="24"/>
              </w:rPr>
            </w:pPr>
            <w:r w:rsidRPr="002C1D5C">
              <w:rPr>
                <w:rFonts w:cs="Arial"/>
                <w:szCs w:val="24"/>
              </w:rPr>
              <w:t>£9.994m</w:t>
            </w:r>
          </w:p>
        </w:tc>
      </w:tr>
      <w:tr w:rsidR="009C2438" w14:paraId="014A372D" w14:textId="77777777" w:rsidTr="00EF055A">
        <w:trPr>
          <w:trHeight w:val="444"/>
        </w:trPr>
        <w:tc>
          <w:tcPr>
            <w:tcW w:w="4165" w:type="dxa"/>
            <w:vAlign w:val="center"/>
          </w:tcPr>
          <w:p w14:paraId="5542DDD8" w14:textId="77777777" w:rsidR="00EF055A" w:rsidRPr="002C1D5C" w:rsidRDefault="00EF055A" w:rsidP="00EF055A">
            <w:pPr>
              <w:jc w:val="both"/>
              <w:rPr>
                <w:rFonts w:cs="Arial"/>
                <w:szCs w:val="24"/>
              </w:rPr>
            </w:pPr>
            <w:r w:rsidRPr="002C1D5C">
              <w:rPr>
                <w:rFonts w:cs="Arial"/>
                <w:szCs w:val="24"/>
              </w:rPr>
              <w:t>General Council Tax increase at 1.99%</w:t>
            </w:r>
          </w:p>
        </w:tc>
        <w:tc>
          <w:tcPr>
            <w:tcW w:w="2152" w:type="dxa"/>
            <w:vAlign w:val="center"/>
          </w:tcPr>
          <w:p w14:paraId="014587FB" w14:textId="77777777" w:rsidR="00EF055A" w:rsidRPr="002C1D5C" w:rsidRDefault="00EF055A" w:rsidP="00EF055A">
            <w:pPr>
              <w:jc w:val="center"/>
              <w:rPr>
                <w:rFonts w:cs="Arial"/>
                <w:szCs w:val="24"/>
              </w:rPr>
            </w:pPr>
            <w:r w:rsidRPr="002C1D5C">
              <w:rPr>
                <w:rFonts w:cs="Arial"/>
                <w:szCs w:val="24"/>
              </w:rPr>
              <w:t>£26.80</w:t>
            </w:r>
          </w:p>
        </w:tc>
        <w:tc>
          <w:tcPr>
            <w:tcW w:w="2237" w:type="dxa"/>
            <w:shd w:val="clear" w:color="auto" w:fill="auto"/>
            <w:vAlign w:val="center"/>
          </w:tcPr>
          <w:p w14:paraId="637E59DC" w14:textId="77777777" w:rsidR="00EF055A" w:rsidRPr="002C1D5C" w:rsidRDefault="00EF055A" w:rsidP="00EF055A">
            <w:pPr>
              <w:jc w:val="center"/>
              <w:rPr>
                <w:rFonts w:cs="Arial"/>
                <w:szCs w:val="24"/>
              </w:rPr>
            </w:pPr>
            <w:r w:rsidRPr="002C1D5C">
              <w:rPr>
                <w:rFonts w:cs="Arial"/>
                <w:szCs w:val="24"/>
              </w:rPr>
              <w:t>£9.944m</w:t>
            </w:r>
          </w:p>
        </w:tc>
      </w:tr>
    </w:tbl>
    <w:p w14:paraId="173367A8" w14:textId="77777777" w:rsidR="00EF055A" w:rsidRPr="007A60AF" w:rsidRDefault="00EF055A" w:rsidP="00EF055A">
      <w:pPr>
        <w:spacing w:after="0"/>
        <w:jc w:val="both"/>
        <w:rPr>
          <w:rFonts w:cs="Arial"/>
          <w:szCs w:val="24"/>
          <w:highlight w:val="yellow"/>
        </w:rPr>
      </w:pPr>
    </w:p>
    <w:p w14:paraId="2A1C5540" w14:textId="77777777" w:rsidR="00EF055A" w:rsidRPr="00CE65F0" w:rsidRDefault="00EF055A" w:rsidP="00EF055A">
      <w:pPr>
        <w:spacing w:after="0"/>
        <w:jc w:val="both"/>
        <w:rPr>
          <w:rFonts w:cs="Arial"/>
          <w:szCs w:val="24"/>
        </w:rPr>
      </w:pPr>
      <w:r w:rsidRPr="00CE65F0">
        <w:rPr>
          <w:rFonts w:cs="Arial"/>
          <w:szCs w:val="24"/>
        </w:rPr>
        <w:t>The overall position is summarised as follows:</w:t>
      </w:r>
    </w:p>
    <w:p w14:paraId="1BFF4697" w14:textId="77777777" w:rsidR="00EF055A" w:rsidRPr="00CE65F0" w:rsidRDefault="00EF055A" w:rsidP="00EF055A">
      <w:pPr>
        <w:spacing w:after="0"/>
        <w:jc w:val="both"/>
        <w:rPr>
          <w:rFonts w:cs="Arial"/>
          <w:szCs w:val="24"/>
        </w:rPr>
      </w:pPr>
    </w:p>
    <w:p w14:paraId="2B43D1E1" w14:textId="77777777" w:rsidR="00EF055A" w:rsidRPr="00CE65F0" w:rsidRDefault="00EF055A" w:rsidP="00EF055A">
      <w:pPr>
        <w:spacing w:after="0"/>
        <w:rPr>
          <w:rFonts w:cs="Arial"/>
          <w:b/>
          <w:szCs w:val="24"/>
          <w:u w:val="single"/>
        </w:rPr>
      </w:pPr>
      <w:r w:rsidRPr="00CE65F0">
        <w:rPr>
          <w:rFonts w:cs="Arial"/>
          <w:b/>
          <w:szCs w:val="24"/>
          <w:u w:val="single"/>
        </w:rPr>
        <w:t>Table 1</w:t>
      </w:r>
      <w:r>
        <w:rPr>
          <w:rFonts w:cs="Arial"/>
          <w:b/>
          <w:szCs w:val="24"/>
          <w:u w:val="single"/>
        </w:rPr>
        <w:t>3</w:t>
      </w:r>
    </w:p>
    <w:p w14:paraId="63D77DB7" w14:textId="77777777" w:rsidR="00EF055A" w:rsidRPr="007A60AF" w:rsidRDefault="00EF055A" w:rsidP="00EF055A">
      <w:pPr>
        <w:spacing w:after="0"/>
        <w:rPr>
          <w:rFonts w:cs="Arial"/>
          <w:b/>
          <w:szCs w:val="24"/>
          <w:highlight w:val="yellow"/>
          <w:u w:val="single"/>
        </w:rPr>
      </w:pPr>
    </w:p>
    <w:tbl>
      <w:tblPr>
        <w:tblStyle w:val="TableGrid51"/>
        <w:tblW w:w="0" w:type="auto"/>
        <w:jc w:val="center"/>
        <w:tblLook w:val="04A0" w:firstRow="1" w:lastRow="0" w:firstColumn="1" w:lastColumn="0" w:noHBand="0" w:noVBand="1"/>
      </w:tblPr>
      <w:tblGrid>
        <w:gridCol w:w="5576"/>
        <w:gridCol w:w="2459"/>
      </w:tblGrid>
      <w:tr w:rsidR="009C2438" w14:paraId="02562A19" w14:textId="77777777" w:rsidTr="00EF055A">
        <w:trPr>
          <w:trHeight w:val="334"/>
          <w:jc w:val="center"/>
        </w:trPr>
        <w:tc>
          <w:tcPr>
            <w:tcW w:w="5576" w:type="dxa"/>
            <w:shd w:val="clear" w:color="auto" w:fill="BFBFBF" w:themeFill="background1" w:themeFillShade="BF"/>
            <w:vAlign w:val="center"/>
          </w:tcPr>
          <w:p w14:paraId="5CFEB6EC" w14:textId="77777777" w:rsidR="00EF055A" w:rsidRPr="007A60AF" w:rsidRDefault="00EF055A" w:rsidP="00EF055A">
            <w:pPr>
              <w:autoSpaceDE w:val="0"/>
              <w:autoSpaceDN w:val="0"/>
              <w:adjustRightInd w:val="0"/>
              <w:spacing w:line="276" w:lineRule="auto"/>
              <w:jc w:val="both"/>
              <w:rPr>
                <w:rFonts w:cs="Arial"/>
                <w:b/>
                <w:szCs w:val="24"/>
                <w:highlight w:val="yellow"/>
              </w:rPr>
            </w:pPr>
          </w:p>
        </w:tc>
        <w:tc>
          <w:tcPr>
            <w:tcW w:w="2459" w:type="dxa"/>
            <w:shd w:val="clear" w:color="auto" w:fill="BFBFBF" w:themeFill="background1" w:themeFillShade="BF"/>
            <w:vAlign w:val="center"/>
          </w:tcPr>
          <w:p w14:paraId="32BC715F" w14:textId="77777777" w:rsidR="00EF055A" w:rsidRPr="007A60AF" w:rsidRDefault="00EF055A" w:rsidP="00EF055A">
            <w:pPr>
              <w:autoSpaceDE w:val="0"/>
              <w:autoSpaceDN w:val="0"/>
              <w:adjustRightInd w:val="0"/>
              <w:spacing w:line="276" w:lineRule="auto"/>
              <w:jc w:val="center"/>
              <w:rPr>
                <w:rFonts w:cs="Arial"/>
                <w:b/>
                <w:szCs w:val="24"/>
                <w:highlight w:val="yellow"/>
              </w:rPr>
            </w:pPr>
            <w:r w:rsidRPr="002C1D5C">
              <w:rPr>
                <w:rFonts w:cs="Arial"/>
                <w:b/>
                <w:szCs w:val="24"/>
              </w:rPr>
              <w:t>£m</w:t>
            </w:r>
          </w:p>
        </w:tc>
      </w:tr>
      <w:tr w:rsidR="009C2438" w14:paraId="317C859C" w14:textId="77777777" w:rsidTr="00EF055A">
        <w:trPr>
          <w:trHeight w:val="334"/>
          <w:jc w:val="center"/>
        </w:trPr>
        <w:tc>
          <w:tcPr>
            <w:tcW w:w="5576" w:type="dxa"/>
            <w:shd w:val="clear" w:color="auto" w:fill="BFBFBF" w:themeFill="background1" w:themeFillShade="BF"/>
            <w:vAlign w:val="center"/>
          </w:tcPr>
          <w:p w14:paraId="3E99B9BA" w14:textId="77777777" w:rsidR="00EF055A" w:rsidRPr="007A60AF" w:rsidRDefault="00EF055A" w:rsidP="00EF055A">
            <w:pPr>
              <w:autoSpaceDE w:val="0"/>
              <w:autoSpaceDN w:val="0"/>
              <w:adjustRightInd w:val="0"/>
              <w:spacing w:line="276" w:lineRule="auto"/>
              <w:jc w:val="both"/>
              <w:rPr>
                <w:rFonts w:cs="Arial"/>
                <w:b/>
                <w:szCs w:val="24"/>
                <w:highlight w:val="yellow"/>
              </w:rPr>
            </w:pPr>
            <w:r w:rsidRPr="00CE65F0">
              <w:rPr>
                <w:rFonts w:cs="Arial"/>
                <w:b/>
                <w:szCs w:val="24"/>
              </w:rPr>
              <w:t>Budget Requirement</w:t>
            </w:r>
          </w:p>
        </w:tc>
        <w:tc>
          <w:tcPr>
            <w:tcW w:w="2459" w:type="dxa"/>
            <w:shd w:val="clear" w:color="auto" w:fill="BFBFBF" w:themeFill="background1" w:themeFillShade="BF"/>
            <w:vAlign w:val="center"/>
          </w:tcPr>
          <w:p w14:paraId="2A76FAB4" w14:textId="77777777" w:rsidR="00EF055A" w:rsidRPr="007A60AF" w:rsidRDefault="00EF055A" w:rsidP="00EF055A">
            <w:pPr>
              <w:autoSpaceDE w:val="0"/>
              <w:autoSpaceDN w:val="0"/>
              <w:adjustRightInd w:val="0"/>
              <w:spacing w:line="276" w:lineRule="auto"/>
              <w:jc w:val="center"/>
              <w:rPr>
                <w:rFonts w:cs="Arial"/>
                <w:b/>
                <w:szCs w:val="24"/>
                <w:highlight w:val="yellow"/>
              </w:rPr>
            </w:pPr>
            <w:r w:rsidRPr="006839A2">
              <w:rPr>
                <w:rFonts w:cs="Arial"/>
                <w:b/>
                <w:szCs w:val="24"/>
              </w:rPr>
              <w:t>844.851</w:t>
            </w:r>
          </w:p>
        </w:tc>
      </w:tr>
      <w:tr w:rsidR="009C2438" w14:paraId="32875830" w14:textId="77777777" w:rsidTr="00EF055A">
        <w:trPr>
          <w:trHeight w:val="334"/>
          <w:jc w:val="center"/>
        </w:trPr>
        <w:tc>
          <w:tcPr>
            <w:tcW w:w="5576" w:type="dxa"/>
            <w:shd w:val="clear" w:color="auto" w:fill="auto"/>
            <w:vAlign w:val="center"/>
          </w:tcPr>
          <w:p w14:paraId="111E90AF" w14:textId="77777777" w:rsidR="00EF055A" w:rsidRPr="0001253F" w:rsidRDefault="00EF055A" w:rsidP="00EF055A">
            <w:pPr>
              <w:autoSpaceDE w:val="0"/>
              <w:autoSpaceDN w:val="0"/>
              <w:adjustRightInd w:val="0"/>
              <w:jc w:val="both"/>
              <w:rPr>
                <w:rFonts w:cs="Arial"/>
                <w:szCs w:val="24"/>
              </w:rPr>
            </w:pPr>
            <w:r w:rsidRPr="0001253F">
              <w:rPr>
                <w:rFonts w:cs="Arial"/>
                <w:szCs w:val="24"/>
              </w:rPr>
              <w:t>Less Revenue Support Grant</w:t>
            </w:r>
          </w:p>
        </w:tc>
        <w:tc>
          <w:tcPr>
            <w:tcW w:w="2459" w:type="dxa"/>
            <w:shd w:val="clear" w:color="auto" w:fill="auto"/>
            <w:vAlign w:val="center"/>
          </w:tcPr>
          <w:p w14:paraId="5CA14956" w14:textId="77777777" w:rsidR="00EF055A" w:rsidRPr="00075289" w:rsidRDefault="00EF055A" w:rsidP="00EF055A">
            <w:pPr>
              <w:autoSpaceDE w:val="0"/>
              <w:autoSpaceDN w:val="0"/>
              <w:adjustRightInd w:val="0"/>
              <w:jc w:val="center"/>
              <w:rPr>
                <w:rFonts w:cs="Arial"/>
                <w:szCs w:val="24"/>
              </w:rPr>
            </w:pPr>
            <w:r w:rsidRPr="00075289">
              <w:rPr>
                <w:rFonts w:cs="Arial"/>
                <w:szCs w:val="24"/>
              </w:rPr>
              <w:t>33.430</w:t>
            </w:r>
          </w:p>
        </w:tc>
      </w:tr>
      <w:tr w:rsidR="009C2438" w14:paraId="3EB159D4" w14:textId="77777777" w:rsidTr="00EF055A">
        <w:trPr>
          <w:trHeight w:val="355"/>
          <w:jc w:val="center"/>
        </w:trPr>
        <w:tc>
          <w:tcPr>
            <w:tcW w:w="5576" w:type="dxa"/>
            <w:vAlign w:val="center"/>
          </w:tcPr>
          <w:p w14:paraId="0D4EEB27" w14:textId="77777777" w:rsidR="00EF055A" w:rsidRPr="00C73335" w:rsidRDefault="00EF055A" w:rsidP="00EF055A">
            <w:pPr>
              <w:autoSpaceDE w:val="0"/>
              <w:autoSpaceDN w:val="0"/>
              <w:adjustRightInd w:val="0"/>
              <w:spacing w:line="276" w:lineRule="auto"/>
              <w:jc w:val="both"/>
              <w:rPr>
                <w:rFonts w:cs="Arial"/>
                <w:szCs w:val="24"/>
              </w:rPr>
            </w:pPr>
            <w:r w:rsidRPr="00C73335">
              <w:rPr>
                <w:rFonts w:cs="Arial"/>
                <w:color w:val="000000"/>
                <w:szCs w:val="24"/>
              </w:rPr>
              <w:t>Less Business Rates</w:t>
            </w:r>
          </w:p>
        </w:tc>
        <w:tc>
          <w:tcPr>
            <w:tcW w:w="2459" w:type="dxa"/>
            <w:vAlign w:val="center"/>
          </w:tcPr>
          <w:p w14:paraId="279FF61C" w14:textId="77777777" w:rsidR="00EF055A" w:rsidRPr="007A60AF" w:rsidRDefault="00EF055A" w:rsidP="00EF055A">
            <w:pPr>
              <w:autoSpaceDE w:val="0"/>
              <w:autoSpaceDN w:val="0"/>
              <w:adjustRightInd w:val="0"/>
              <w:spacing w:line="276" w:lineRule="auto"/>
              <w:jc w:val="center"/>
              <w:rPr>
                <w:rFonts w:cs="Arial"/>
                <w:szCs w:val="24"/>
                <w:highlight w:val="yellow"/>
              </w:rPr>
            </w:pPr>
            <w:r w:rsidRPr="006839A2">
              <w:rPr>
                <w:rFonts w:cs="Arial"/>
                <w:color w:val="000000"/>
                <w:szCs w:val="24"/>
              </w:rPr>
              <w:t>202.318</w:t>
            </w:r>
          </w:p>
        </w:tc>
      </w:tr>
      <w:tr w:rsidR="009C2438" w14:paraId="668BF9DC" w14:textId="77777777" w:rsidTr="00EF055A">
        <w:trPr>
          <w:trHeight w:val="355"/>
          <w:jc w:val="center"/>
        </w:trPr>
        <w:tc>
          <w:tcPr>
            <w:tcW w:w="5576" w:type="dxa"/>
            <w:vAlign w:val="center"/>
          </w:tcPr>
          <w:p w14:paraId="34CFE2B2" w14:textId="77777777" w:rsidR="00EF055A" w:rsidRPr="00C73335" w:rsidRDefault="00EF055A" w:rsidP="00EF055A">
            <w:pPr>
              <w:autoSpaceDE w:val="0"/>
              <w:autoSpaceDN w:val="0"/>
              <w:adjustRightInd w:val="0"/>
              <w:jc w:val="both"/>
              <w:rPr>
                <w:rFonts w:cs="Arial"/>
                <w:szCs w:val="24"/>
              </w:rPr>
            </w:pPr>
            <w:r w:rsidRPr="00C73335">
              <w:rPr>
                <w:rFonts w:cs="Arial"/>
                <w:color w:val="000000"/>
                <w:szCs w:val="24"/>
              </w:rPr>
              <w:t>Less New Homes Bonus</w:t>
            </w:r>
          </w:p>
        </w:tc>
        <w:tc>
          <w:tcPr>
            <w:tcW w:w="2459" w:type="dxa"/>
            <w:vAlign w:val="center"/>
          </w:tcPr>
          <w:p w14:paraId="2638A7D9" w14:textId="77777777" w:rsidR="00EF055A" w:rsidRPr="007A60AF" w:rsidRDefault="00EF055A" w:rsidP="00EF055A">
            <w:pPr>
              <w:autoSpaceDE w:val="0"/>
              <w:autoSpaceDN w:val="0"/>
              <w:adjustRightInd w:val="0"/>
              <w:jc w:val="center"/>
              <w:rPr>
                <w:rFonts w:cs="Arial"/>
                <w:szCs w:val="24"/>
                <w:highlight w:val="yellow"/>
              </w:rPr>
            </w:pPr>
            <w:r w:rsidRPr="00C73335">
              <w:rPr>
                <w:rFonts w:cs="Arial"/>
                <w:color w:val="000000"/>
                <w:szCs w:val="24"/>
              </w:rPr>
              <w:t>3.503</w:t>
            </w:r>
          </w:p>
        </w:tc>
      </w:tr>
      <w:tr w:rsidR="009C2438" w14:paraId="0F55B12E" w14:textId="77777777" w:rsidTr="00EF055A">
        <w:trPr>
          <w:trHeight w:val="355"/>
          <w:jc w:val="center"/>
        </w:trPr>
        <w:tc>
          <w:tcPr>
            <w:tcW w:w="5576" w:type="dxa"/>
            <w:vAlign w:val="center"/>
          </w:tcPr>
          <w:p w14:paraId="22FD5872" w14:textId="77777777" w:rsidR="00EF055A" w:rsidRPr="00C73335" w:rsidRDefault="00EF055A" w:rsidP="00EF055A">
            <w:pPr>
              <w:autoSpaceDE w:val="0"/>
              <w:autoSpaceDN w:val="0"/>
              <w:adjustRightInd w:val="0"/>
              <w:jc w:val="both"/>
              <w:rPr>
                <w:rFonts w:cs="Arial"/>
                <w:szCs w:val="24"/>
              </w:rPr>
            </w:pPr>
            <w:r w:rsidRPr="00C73335">
              <w:rPr>
                <w:rFonts w:cs="Arial"/>
                <w:color w:val="000000"/>
                <w:szCs w:val="24"/>
              </w:rPr>
              <w:t>Less Improved Better Care Fund</w:t>
            </w:r>
          </w:p>
        </w:tc>
        <w:tc>
          <w:tcPr>
            <w:tcW w:w="2459" w:type="dxa"/>
            <w:vAlign w:val="center"/>
          </w:tcPr>
          <w:p w14:paraId="6C36D9FD" w14:textId="77777777" w:rsidR="00EF055A" w:rsidRPr="007A60AF" w:rsidRDefault="00EF055A" w:rsidP="00EF055A">
            <w:pPr>
              <w:autoSpaceDE w:val="0"/>
              <w:autoSpaceDN w:val="0"/>
              <w:adjustRightInd w:val="0"/>
              <w:jc w:val="center"/>
              <w:rPr>
                <w:rFonts w:cs="Arial"/>
                <w:szCs w:val="24"/>
                <w:highlight w:val="yellow"/>
              </w:rPr>
            </w:pPr>
            <w:r w:rsidRPr="00C73335">
              <w:rPr>
                <w:rFonts w:cs="Arial"/>
                <w:szCs w:val="24"/>
              </w:rPr>
              <w:t>45.532</w:t>
            </w:r>
          </w:p>
        </w:tc>
      </w:tr>
      <w:tr w:rsidR="009C2438" w14:paraId="09E3C359" w14:textId="77777777" w:rsidTr="00EF055A">
        <w:trPr>
          <w:trHeight w:val="355"/>
          <w:jc w:val="center"/>
        </w:trPr>
        <w:tc>
          <w:tcPr>
            <w:tcW w:w="5576" w:type="dxa"/>
            <w:vAlign w:val="center"/>
          </w:tcPr>
          <w:p w14:paraId="657AE556" w14:textId="77777777" w:rsidR="00EF055A" w:rsidRPr="00C73335" w:rsidRDefault="00EF055A" w:rsidP="00EF055A">
            <w:pPr>
              <w:autoSpaceDE w:val="0"/>
              <w:autoSpaceDN w:val="0"/>
              <w:adjustRightInd w:val="0"/>
              <w:jc w:val="both"/>
              <w:rPr>
                <w:rFonts w:cs="Arial"/>
                <w:szCs w:val="24"/>
              </w:rPr>
            </w:pPr>
            <w:r w:rsidRPr="00C73335">
              <w:rPr>
                <w:rFonts w:cs="Arial"/>
                <w:color w:val="000000"/>
                <w:szCs w:val="24"/>
              </w:rPr>
              <w:t>Less Social Care Grant</w:t>
            </w:r>
          </w:p>
        </w:tc>
        <w:tc>
          <w:tcPr>
            <w:tcW w:w="2459" w:type="dxa"/>
            <w:vAlign w:val="center"/>
          </w:tcPr>
          <w:p w14:paraId="36BCF3DA" w14:textId="77777777" w:rsidR="00EF055A" w:rsidRPr="007A60AF" w:rsidRDefault="00EF055A" w:rsidP="00EF055A">
            <w:pPr>
              <w:autoSpaceDE w:val="0"/>
              <w:autoSpaceDN w:val="0"/>
              <w:adjustRightInd w:val="0"/>
              <w:jc w:val="center"/>
              <w:rPr>
                <w:rFonts w:cs="Arial"/>
                <w:szCs w:val="24"/>
                <w:highlight w:val="yellow"/>
              </w:rPr>
            </w:pPr>
            <w:r w:rsidRPr="00C73335">
              <w:rPr>
                <w:rFonts w:cs="Arial"/>
                <w:color w:val="000000"/>
                <w:szCs w:val="24"/>
              </w:rPr>
              <w:t>33.417</w:t>
            </w:r>
          </w:p>
        </w:tc>
      </w:tr>
      <w:tr w:rsidR="009C2438" w14:paraId="17DDE843" w14:textId="77777777" w:rsidTr="00EF055A">
        <w:trPr>
          <w:trHeight w:val="355"/>
          <w:jc w:val="center"/>
        </w:trPr>
        <w:tc>
          <w:tcPr>
            <w:tcW w:w="5576" w:type="dxa"/>
            <w:vAlign w:val="center"/>
          </w:tcPr>
          <w:p w14:paraId="01C9D5F3" w14:textId="77777777" w:rsidR="00EF055A" w:rsidRPr="00C73335" w:rsidRDefault="00EF055A" w:rsidP="00EF055A">
            <w:pPr>
              <w:autoSpaceDE w:val="0"/>
              <w:autoSpaceDN w:val="0"/>
              <w:adjustRightInd w:val="0"/>
              <w:jc w:val="both"/>
              <w:rPr>
                <w:rFonts w:cs="Arial"/>
                <w:szCs w:val="24"/>
              </w:rPr>
            </w:pPr>
            <w:r w:rsidRPr="00C73335">
              <w:rPr>
                <w:rFonts w:cs="Arial"/>
                <w:color w:val="000000"/>
                <w:szCs w:val="24"/>
              </w:rPr>
              <w:t>Less Collection Fund Surplus</w:t>
            </w:r>
          </w:p>
        </w:tc>
        <w:tc>
          <w:tcPr>
            <w:tcW w:w="2459" w:type="dxa"/>
            <w:vAlign w:val="center"/>
          </w:tcPr>
          <w:p w14:paraId="372169A0" w14:textId="77777777" w:rsidR="00EF055A" w:rsidRPr="007A60AF" w:rsidRDefault="00EF055A" w:rsidP="00EF055A">
            <w:pPr>
              <w:autoSpaceDE w:val="0"/>
              <w:autoSpaceDN w:val="0"/>
              <w:adjustRightInd w:val="0"/>
              <w:jc w:val="center"/>
              <w:rPr>
                <w:rFonts w:cs="Arial"/>
                <w:szCs w:val="24"/>
                <w:highlight w:val="yellow"/>
              </w:rPr>
            </w:pPr>
            <w:r>
              <w:rPr>
                <w:rFonts w:cs="Arial"/>
                <w:color w:val="000000"/>
                <w:szCs w:val="24"/>
              </w:rPr>
              <w:t>7.003</w:t>
            </w:r>
          </w:p>
        </w:tc>
      </w:tr>
      <w:tr w:rsidR="009C2438" w14:paraId="5E902FA4" w14:textId="77777777" w:rsidTr="00EF055A">
        <w:trPr>
          <w:trHeight w:val="355"/>
          <w:jc w:val="center"/>
        </w:trPr>
        <w:tc>
          <w:tcPr>
            <w:tcW w:w="5576" w:type="dxa"/>
            <w:vAlign w:val="center"/>
          </w:tcPr>
          <w:p w14:paraId="3724013F" w14:textId="77777777" w:rsidR="00EF055A" w:rsidRPr="00C73335" w:rsidRDefault="00EF055A" w:rsidP="00EF055A">
            <w:pPr>
              <w:autoSpaceDE w:val="0"/>
              <w:autoSpaceDN w:val="0"/>
              <w:adjustRightInd w:val="0"/>
              <w:spacing w:line="276" w:lineRule="auto"/>
              <w:jc w:val="both"/>
              <w:rPr>
                <w:rFonts w:cs="Arial"/>
                <w:b/>
                <w:szCs w:val="24"/>
              </w:rPr>
            </w:pPr>
            <w:r w:rsidRPr="00C73335">
              <w:rPr>
                <w:rFonts w:cs="Arial"/>
                <w:b/>
                <w:szCs w:val="24"/>
              </w:rPr>
              <w:t>Equals council tax cash</w:t>
            </w:r>
          </w:p>
        </w:tc>
        <w:tc>
          <w:tcPr>
            <w:tcW w:w="2459" w:type="dxa"/>
            <w:vAlign w:val="center"/>
          </w:tcPr>
          <w:p w14:paraId="7B509C7C" w14:textId="77777777" w:rsidR="00EF055A" w:rsidRPr="007A60AF" w:rsidRDefault="00EF055A" w:rsidP="00EF055A">
            <w:pPr>
              <w:autoSpaceDE w:val="0"/>
              <w:autoSpaceDN w:val="0"/>
              <w:adjustRightInd w:val="0"/>
              <w:spacing w:line="276" w:lineRule="auto"/>
              <w:jc w:val="center"/>
              <w:rPr>
                <w:rFonts w:cs="Arial"/>
                <w:b/>
                <w:szCs w:val="24"/>
                <w:highlight w:val="yellow"/>
              </w:rPr>
            </w:pPr>
            <w:r w:rsidRPr="006839A2">
              <w:rPr>
                <w:rFonts w:cs="Arial"/>
                <w:b/>
                <w:szCs w:val="24"/>
              </w:rPr>
              <w:t>519.648</w:t>
            </w:r>
          </w:p>
        </w:tc>
      </w:tr>
      <w:tr w:rsidR="009C2438" w14:paraId="22AAE234" w14:textId="77777777" w:rsidTr="00EF055A">
        <w:trPr>
          <w:trHeight w:val="355"/>
          <w:jc w:val="center"/>
        </w:trPr>
        <w:tc>
          <w:tcPr>
            <w:tcW w:w="5576" w:type="dxa"/>
            <w:shd w:val="clear" w:color="auto" w:fill="BFBFBF" w:themeFill="background1" w:themeFillShade="BF"/>
            <w:vAlign w:val="center"/>
          </w:tcPr>
          <w:p w14:paraId="5C808450" w14:textId="77777777" w:rsidR="00EF055A" w:rsidRPr="007A60AF" w:rsidRDefault="00EF055A" w:rsidP="00EF055A">
            <w:pPr>
              <w:autoSpaceDE w:val="0"/>
              <w:autoSpaceDN w:val="0"/>
              <w:adjustRightInd w:val="0"/>
              <w:jc w:val="both"/>
              <w:rPr>
                <w:rFonts w:cs="Arial"/>
                <w:szCs w:val="24"/>
                <w:highlight w:val="yellow"/>
              </w:rPr>
            </w:pPr>
          </w:p>
        </w:tc>
        <w:tc>
          <w:tcPr>
            <w:tcW w:w="2459" w:type="dxa"/>
            <w:shd w:val="clear" w:color="auto" w:fill="BFBFBF" w:themeFill="background1" w:themeFillShade="BF"/>
            <w:vAlign w:val="center"/>
          </w:tcPr>
          <w:p w14:paraId="4960D3D1" w14:textId="77777777" w:rsidR="00EF055A" w:rsidRPr="007A60AF" w:rsidRDefault="00EF055A" w:rsidP="00EF055A">
            <w:pPr>
              <w:autoSpaceDE w:val="0"/>
              <w:autoSpaceDN w:val="0"/>
              <w:adjustRightInd w:val="0"/>
              <w:jc w:val="center"/>
              <w:rPr>
                <w:rFonts w:cs="Arial"/>
                <w:szCs w:val="24"/>
                <w:highlight w:val="yellow"/>
              </w:rPr>
            </w:pPr>
          </w:p>
        </w:tc>
      </w:tr>
      <w:tr w:rsidR="009C2438" w14:paraId="07210334" w14:textId="77777777" w:rsidTr="00EF055A">
        <w:trPr>
          <w:trHeight w:val="355"/>
          <w:jc w:val="center"/>
        </w:trPr>
        <w:tc>
          <w:tcPr>
            <w:tcW w:w="5576" w:type="dxa"/>
            <w:vAlign w:val="center"/>
          </w:tcPr>
          <w:p w14:paraId="10B4A03D" w14:textId="77777777" w:rsidR="00EF055A" w:rsidRPr="00CE65F0" w:rsidRDefault="00EF055A" w:rsidP="00EF055A">
            <w:pPr>
              <w:autoSpaceDE w:val="0"/>
              <w:autoSpaceDN w:val="0"/>
              <w:adjustRightInd w:val="0"/>
              <w:spacing w:line="276" w:lineRule="auto"/>
              <w:jc w:val="both"/>
              <w:rPr>
                <w:rFonts w:cs="Arial"/>
                <w:szCs w:val="24"/>
              </w:rPr>
            </w:pPr>
            <w:r w:rsidRPr="00CE65F0">
              <w:rPr>
                <w:rFonts w:cs="Arial"/>
                <w:szCs w:val="24"/>
              </w:rPr>
              <w:t>Divided by tax base</w:t>
            </w:r>
          </w:p>
        </w:tc>
        <w:tc>
          <w:tcPr>
            <w:tcW w:w="2459" w:type="dxa"/>
            <w:vAlign w:val="center"/>
          </w:tcPr>
          <w:p w14:paraId="7C73F23D" w14:textId="77777777" w:rsidR="00EF055A" w:rsidRPr="007A60AF" w:rsidRDefault="00EF055A" w:rsidP="00EF055A">
            <w:pPr>
              <w:autoSpaceDE w:val="0"/>
              <w:autoSpaceDN w:val="0"/>
              <w:adjustRightInd w:val="0"/>
              <w:spacing w:line="276" w:lineRule="auto"/>
              <w:jc w:val="center"/>
              <w:rPr>
                <w:rFonts w:cs="Arial"/>
                <w:szCs w:val="24"/>
                <w:highlight w:val="yellow"/>
              </w:rPr>
            </w:pPr>
            <w:r w:rsidRPr="00C73335">
              <w:rPr>
                <w:rFonts w:cs="Arial"/>
                <w:szCs w:val="24"/>
              </w:rPr>
              <w:t>371</w:t>
            </w:r>
            <w:r>
              <w:rPr>
                <w:rFonts w:cs="Arial"/>
                <w:szCs w:val="24"/>
              </w:rPr>
              <w:t>,</w:t>
            </w:r>
            <w:r w:rsidRPr="00C73335">
              <w:rPr>
                <w:rFonts w:cs="Arial"/>
                <w:szCs w:val="24"/>
              </w:rPr>
              <w:t>092.21</w:t>
            </w:r>
          </w:p>
        </w:tc>
      </w:tr>
      <w:tr w:rsidR="009C2438" w14:paraId="70D450FC" w14:textId="77777777" w:rsidTr="00EF055A">
        <w:trPr>
          <w:trHeight w:val="355"/>
          <w:jc w:val="center"/>
        </w:trPr>
        <w:tc>
          <w:tcPr>
            <w:tcW w:w="5576" w:type="dxa"/>
            <w:vAlign w:val="center"/>
          </w:tcPr>
          <w:p w14:paraId="18848AE1" w14:textId="77777777" w:rsidR="00EF055A" w:rsidRPr="00CE65F0" w:rsidRDefault="00EF055A" w:rsidP="00EF055A">
            <w:pPr>
              <w:autoSpaceDE w:val="0"/>
              <w:autoSpaceDN w:val="0"/>
              <w:adjustRightInd w:val="0"/>
              <w:spacing w:line="276" w:lineRule="auto"/>
              <w:jc w:val="both"/>
              <w:rPr>
                <w:rFonts w:cs="Arial"/>
                <w:szCs w:val="24"/>
              </w:rPr>
            </w:pPr>
            <w:r w:rsidRPr="00CE65F0">
              <w:rPr>
                <w:rFonts w:cs="Arial"/>
                <w:szCs w:val="24"/>
              </w:rPr>
              <w:t>Gives Band D council tax for 2020/21</w:t>
            </w:r>
          </w:p>
        </w:tc>
        <w:tc>
          <w:tcPr>
            <w:tcW w:w="2459" w:type="dxa"/>
            <w:vAlign w:val="center"/>
          </w:tcPr>
          <w:p w14:paraId="2FD09AED" w14:textId="77777777" w:rsidR="00EF055A" w:rsidRPr="007A60AF" w:rsidRDefault="00EF055A" w:rsidP="00EF055A">
            <w:pPr>
              <w:autoSpaceDE w:val="0"/>
              <w:autoSpaceDN w:val="0"/>
              <w:adjustRightInd w:val="0"/>
              <w:spacing w:line="276" w:lineRule="auto"/>
              <w:jc w:val="center"/>
              <w:rPr>
                <w:rFonts w:cs="Arial"/>
                <w:szCs w:val="24"/>
                <w:highlight w:val="yellow"/>
              </w:rPr>
            </w:pPr>
            <w:r>
              <w:rPr>
                <w:rFonts w:cs="Arial"/>
                <w:szCs w:val="24"/>
              </w:rPr>
              <w:t>£</w:t>
            </w:r>
            <w:r w:rsidRPr="00C73335">
              <w:rPr>
                <w:rFonts w:cs="Arial"/>
                <w:szCs w:val="24"/>
              </w:rPr>
              <w:t>1</w:t>
            </w:r>
            <w:r>
              <w:rPr>
                <w:rFonts w:cs="Arial"/>
                <w:szCs w:val="24"/>
              </w:rPr>
              <w:t>,</w:t>
            </w:r>
            <w:r w:rsidRPr="00C73335">
              <w:rPr>
                <w:rFonts w:cs="Arial"/>
                <w:szCs w:val="24"/>
              </w:rPr>
              <w:t>400.32</w:t>
            </w:r>
          </w:p>
        </w:tc>
      </w:tr>
      <w:tr w:rsidR="009C2438" w14:paraId="39C2AE21" w14:textId="77777777" w:rsidTr="00EF055A">
        <w:trPr>
          <w:trHeight w:val="355"/>
          <w:jc w:val="center"/>
        </w:trPr>
        <w:tc>
          <w:tcPr>
            <w:tcW w:w="5576" w:type="dxa"/>
            <w:vAlign w:val="center"/>
          </w:tcPr>
          <w:p w14:paraId="1C33BA0D" w14:textId="77777777" w:rsidR="00EF055A" w:rsidRPr="00CE65F0" w:rsidRDefault="00EF055A" w:rsidP="00EF055A">
            <w:pPr>
              <w:autoSpaceDE w:val="0"/>
              <w:autoSpaceDN w:val="0"/>
              <w:adjustRightInd w:val="0"/>
              <w:spacing w:line="276" w:lineRule="auto"/>
              <w:jc w:val="both"/>
              <w:rPr>
                <w:rFonts w:cs="Arial"/>
                <w:szCs w:val="24"/>
              </w:rPr>
            </w:pPr>
            <w:r w:rsidRPr="00CE65F0">
              <w:rPr>
                <w:rFonts w:cs="Arial"/>
                <w:szCs w:val="24"/>
              </w:rPr>
              <w:t>2019/20 council tax</w:t>
            </w:r>
          </w:p>
        </w:tc>
        <w:tc>
          <w:tcPr>
            <w:tcW w:w="2459" w:type="dxa"/>
            <w:vAlign w:val="center"/>
          </w:tcPr>
          <w:p w14:paraId="07754AC9" w14:textId="77777777" w:rsidR="00EF055A" w:rsidRPr="00CE65F0" w:rsidRDefault="00EF055A" w:rsidP="00EF055A">
            <w:pPr>
              <w:autoSpaceDE w:val="0"/>
              <w:autoSpaceDN w:val="0"/>
              <w:adjustRightInd w:val="0"/>
              <w:spacing w:line="276" w:lineRule="auto"/>
              <w:jc w:val="center"/>
              <w:rPr>
                <w:rFonts w:cs="Arial"/>
                <w:szCs w:val="24"/>
              </w:rPr>
            </w:pPr>
            <w:r>
              <w:rPr>
                <w:rFonts w:cs="Arial"/>
                <w:szCs w:val="24"/>
              </w:rPr>
              <w:t>£</w:t>
            </w:r>
            <w:r w:rsidRPr="00CE65F0">
              <w:rPr>
                <w:rFonts w:cs="Arial"/>
                <w:szCs w:val="24"/>
              </w:rPr>
              <w:t>1</w:t>
            </w:r>
            <w:r>
              <w:rPr>
                <w:rFonts w:cs="Arial"/>
                <w:szCs w:val="24"/>
              </w:rPr>
              <w:t>,</w:t>
            </w:r>
            <w:r w:rsidRPr="00CE65F0">
              <w:rPr>
                <w:rFonts w:cs="Arial"/>
                <w:szCs w:val="24"/>
              </w:rPr>
              <w:t>346.59</w:t>
            </w:r>
          </w:p>
        </w:tc>
      </w:tr>
      <w:tr w:rsidR="009C2438" w14:paraId="345458D9" w14:textId="77777777" w:rsidTr="00EF055A">
        <w:trPr>
          <w:trHeight w:val="355"/>
          <w:jc w:val="center"/>
        </w:trPr>
        <w:tc>
          <w:tcPr>
            <w:tcW w:w="5576" w:type="dxa"/>
            <w:vAlign w:val="center"/>
          </w:tcPr>
          <w:p w14:paraId="7C9EE8CC" w14:textId="77777777" w:rsidR="00EF055A" w:rsidRPr="00CE65F0" w:rsidRDefault="00EF055A" w:rsidP="00EF055A">
            <w:pPr>
              <w:autoSpaceDE w:val="0"/>
              <w:autoSpaceDN w:val="0"/>
              <w:adjustRightInd w:val="0"/>
              <w:spacing w:line="276" w:lineRule="auto"/>
              <w:jc w:val="both"/>
              <w:rPr>
                <w:rFonts w:cs="Arial"/>
                <w:b/>
                <w:szCs w:val="24"/>
              </w:rPr>
            </w:pPr>
            <w:r w:rsidRPr="00CE65F0">
              <w:rPr>
                <w:rFonts w:cs="Arial"/>
                <w:b/>
                <w:szCs w:val="24"/>
              </w:rPr>
              <w:t>Percentage increase</w:t>
            </w:r>
          </w:p>
        </w:tc>
        <w:tc>
          <w:tcPr>
            <w:tcW w:w="2459" w:type="dxa"/>
            <w:vAlign w:val="center"/>
          </w:tcPr>
          <w:p w14:paraId="7755DEE1" w14:textId="77777777" w:rsidR="00EF055A" w:rsidRPr="00CE65F0" w:rsidRDefault="00EF055A" w:rsidP="00EF055A">
            <w:pPr>
              <w:autoSpaceDE w:val="0"/>
              <w:autoSpaceDN w:val="0"/>
              <w:adjustRightInd w:val="0"/>
              <w:spacing w:line="276" w:lineRule="auto"/>
              <w:jc w:val="center"/>
              <w:rPr>
                <w:rFonts w:cs="Arial"/>
                <w:b/>
                <w:szCs w:val="24"/>
              </w:rPr>
            </w:pPr>
            <w:r w:rsidRPr="00CE65F0">
              <w:rPr>
                <w:rFonts w:cs="Arial"/>
                <w:b/>
                <w:szCs w:val="24"/>
              </w:rPr>
              <w:t>3.99%</w:t>
            </w:r>
          </w:p>
        </w:tc>
      </w:tr>
    </w:tbl>
    <w:p w14:paraId="22E14118" w14:textId="77777777" w:rsidR="00EF055A" w:rsidRPr="007A60AF" w:rsidRDefault="00EF055A" w:rsidP="00EF055A">
      <w:pPr>
        <w:spacing w:after="0"/>
        <w:jc w:val="both"/>
        <w:rPr>
          <w:rFonts w:cs="Arial"/>
          <w:b/>
          <w:bCs/>
          <w:szCs w:val="24"/>
          <w:highlight w:val="yellow"/>
        </w:rPr>
      </w:pPr>
    </w:p>
    <w:p w14:paraId="368AFB67" w14:textId="77777777" w:rsidR="00EF055A" w:rsidRPr="00567F44" w:rsidRDefault="00EF055A" w:rsidP="00EF055A">
      <w:pPr>
        <w:spacing w:after="160" w:line="259" w:lineRule="auto"/>
        <w:rPr>
          <w:b/>
        </w:rPr>
      </w:pPr>
      <w:r w:rsidRPr="00CB145E">
        <w:rPr>
          <w:rFonts w:cs="Arial"/>
          <w:b/>
          <w:bCs/>
          <w:szCs w:val="24"/>
        </w:rPr>
        <w:t xml:space="preserve">8. </w:t>
      </w:r>
      <w:r w:rsidRPr="00567F44">
        <w:rPr>
          <w:b/>
        </w:rPr>
        <w:t>The Robustness of the Budget and the Adequacy of Reserves</w:t>
      </w:r>
    </w:p>
    <w:p w14:paraId="0CDB756A" w14:textId="77777777" w:rsidR="00EF055A" w:rsidRPr="00567F44" w:rsidRDefault="00EF055A" w:rsidP="00EF055A">
      <w:pPr>
        <w:spacing w:after="160" w:line="259" w:lineRule="auto"/>
      </w:pPr>
    </w:p>
    <w:p w14:paraId="5A341290" w14:textId="77777777" w:rsidR="00EF055A" w:rsidRPr="00567F44" w:rsidRDefault="00EF055A" w:rsidP="00EF055A">
      <w:pPr>
        <w:spacing w:after="160" w:line="259" w:lineRule="auto"/>
        <w:jc w:val="both"/>
      </w:pPr>
      <w:r w:rsidRPr="00567F44">
        <w:t xml:space="preserve">Section 25 of the Local Government Act 2003 requires that, in giving consideration to budget proposals, Members must have regard to the advice of the Council's Chief Finance Officer (in the case of the county council the Chief Executive and Director of  Resources) on the robustness of the estimates and the adequacy of the council's reserves. </w:t>
      </w:r>
    </w:p>
    <w:p w14:paraId="1AB8FADA" w14:textId="77777777" w:rsidR="00EF055A" w:rsidRPr="00567F44" w:rsidRDefault="00EF055A" w:rsidP="00EF055A">
      <w:pPr>
        <w:spacing w:after="160" w:line="259" w:lineRule="auto"/>
        <w:rPr>
          <w:b/>
        </w:rPr>
      </w:pPr>
      <w:r w:rsidRPr="00567F44">
        <w:rPr>
          <w:b/>
        </w:rPr>
        <w:lastRenderedPageBreak/>
        <w:t>Robustness of the Estimates</w:t>
      </w:r>
    </w:p>
    <w:p w14:paraId="457C3D2F" w14:textId="77777777" w:rsidR="00EF055A" w:rsidRPr="00567F44" w:rsidRDefault="00EF055A" w:rsidP="00EF055A">
      <w:pPr>
        <w:spacing w:after="160" w:line="259" w:lineRule="auto"/>
        <w:jc w:val="both"/>
      </w:pPr>
      <w:r w:rsidRPr="00567F44">
        <w:t xml:space="preserve">This section is concerned with the scale of financial risks faced by the council as a result of the estimates and assumptions which support any budget. The basis of the estimates on which the budget has been prepared, as in previous years, relies on the forecast of activity and the impact of changes in policy previously agreed by the council. These forecasts are kept under review as part of the budget monitoring process and actions identified to address financial risks arising from changes in the forecast as they occur. </w:t>
      </w:r>
    </w:p>
    <w:p w14:paraId="4A44128F" w14:textId="77777777" w:rsidR="00EF055A" w:rsidRPr="00567F44" w:rsidRDefault="00EF055A" w:rsidP="00EF055A">
      <w:pPr>
        <w:spacing w:after="160" w:line="259" w:lineRule="auto"/>
        <w:jc w:val="both"/>
      </w:pPr>
      <w:r w:rsidRPr="00567F44">
        <w:t>The table below demonstrates the scale of just a small variance in the assumptions made, showing the potential impact of both a positive and negative movement of 1% across the main areas within the MTFS:</w:t>
      </w:r>
    </w:p>
    <w:tbl>
      <w:tblPr>
        <w:tblStyle w:val="TableGrid11"/>
        <w:tblW w:w="0" w:type="auto"/>
        <w:tblLook w:val="04A0" w:firstRow="1" w:lastRow="0" w:firstColumn="1" w:lastColumn="0" w:noHBand="0" w:noVBand="1"/>
      </w:tblPr>
      <w:tblGrid>
        <w:gridCol w:w="5948"/>
        <w:gridCol w:w="3068"/>
      </w:tblGrid>
      <w:tr w:rsidR="009C2438" w14:paraId="30B9BDBE" w14:textId="77777777" w:rsidTr="00EF055A">
        <w:tc>
          <w:tcPr>
            <w:tcW w:w="5948" w:type="dxa"/>
          </w:tcPr>
          <w:p w14:paraId="3088D3AA" w14:textId="77777777" w:rsidR="00EF055A" w:rsidRPr="0048049C" w:rsidRDefault="00EF055A" w:rsidP="00EF055A">
            <w:pPr>
              <w:autoSpaceDE w:val="0"/>
              <w:autoSpaceDN w:val="0"/>
              <w:adjustRightInd w:val="0"/>
              <w:spacing w:after="120"/>
              <w:jc w:val="both"/>
              <w:rPr>
                <w:rFonts w:eastAsia="Calibri" w:cs="Arial"/>
                <w:b/>
                <w:color w:val="000000"/>
                <w:szCs w:val="24"/>
              </w:rPr>
            </w:pPr>
          </w:p>
        </w:tc>
        <w:tc>
          <w:tcPr>
            <w:tcW w:w="3068" w:type="dxa"/>
          </w:tcPr>
          <w:p w14:paraId="0C2CE0D3" w14:textId="77777777" w:rsidR="00EF055A" w:rsidRPr="0048049C" w:rsidRDefault="00EF055A" w:rsidP="00EF055A">
            <w:pPr>
              <w:autoSpaceDE w:val="0"/>
              <w:autoSpaceDN w:val="0"/>
              <w:adjustRightInd w:val="0"/>
              <w:spacing w:after="120"/>
              <w:jc w:val="center"/>
              <w:rPr>
                <w:rFonts w:eastAsia="Calibri" w:cs="Arial"/>
                <w:color w:val="000000"/>
                <w:szCs w:val="24"/>
              </w:rPr>
            </w:pPr>
            <w:r w:rsidRPr="0048049C">
              <w:rPr>
                <w:rFonts w:eastAsia="Calibri" w:cs="Arial"/>
                <w:color w:val="000000"/>
                <w:szCs w:val="24"/>
              </w:rPr>
              <w:t>Potential Full - Year Impact (£m)</w:t>
            </w:r>
          </w:p>
        </w:tc>
      </w:tr>
      <w:tr w:rsidR="009C2438" w14:paraId="395F0DAD" w14:textId="77777777" w:rsidTr="00EF055A">
        <w:tc>
          <w:tcPr>
            <w:tcW w:w="5948" w:type="dxa"/>
          </w:tcPr>
          <w:p w14:paraId="60B0F99D" w14:textId="77777777" w:rsidR="00EF055A" w:rsidRPr="0048049C" w:rsidRDefault="00EF055A" w:rsidP="00EF055A">
            <w:pPr>
              <w:autoSpaceDE w:val="0"/>
              <w:autoSpaceDN w:val="0"/>
              <w:adjustRightInd w:val="0"/>
              <w:spacing w:after="120"/>
              <w:jc w:val="both"/>
              <w:rPr>
                <w:rFonts w:eastAsia="Calibri" w:cs="Arial"/>
                <w:color w:val="000000"/>
                <w:szCs w:val="24"/>
              </w:rPr>
            </w:pPr>
            <w:r w:rsidRPr="0048049C">
              <w:rPr>
                <w:rFonts w:eastAsia="Calibri" w:cs="Arial"/>
                <w:color w:val="000000"/>
                <w:szCs w:val="24"/>
              </w:rPr>
              <w:t>Funding - Council Tax (1%)</w:t>
            </w:r>
          </w:p>
        </w:tc>
        <w:tc>
          <w:tcPr>
            <w:tcW w:w="3068" w:type="dxa"/>
          </w:tcPr>
          <w:p w14:paraId="0064E2D7" w14:textId="77777777" w:rsidR="00EF055A" w:rsidRPr="0048049C" w:rsidRDefault="00EF055A" w:rsidP="00EF055A">
            <w:pPr>
              <w:autoSpaceDE w:val="0"/>
              <w:autoSpaceDN w:val="0"/>
              <w:adjustRightInd w:val="0"/>
              <w:spacing w:after="120"/>
              <w:jc w:val="right"/>
              <w:rPr>
                <w:rFonts w:eastAsia="Calibri" w:cs="Arial"/>
                <w:color w:val="000000"/>
                <w:szCs w:val="24"/>
              </w:rPr>
            </w:pPr>
            <w:r w:rsidRPr="0048049C">
              <w:rPr>
                <w:rFonts w:eastAsia="Calibri" w:cs="Arial"/>
                <w:color w:val="000000"/>
                <w:szCs w:val="24"/>
              </w:rPr>
              <w:t xml:space="preserve"> +/- 5.</w:t>
            </w:r>
            <w:r>
              <w:rPr>
                <w:rFonts w:eastAsia="Calibri" w:cs="Arial"/>
                <w:color w:val="000000"/>
                <w:szCs w:val="24"/>
              </w:rPr>
              <w:t>196</w:t>
            </w:r>
          </w:p>
        </w:tc>
      </w:tr>
      <w:tr w:rsidR="009C2438" w14:paraId="2D8D7C94" w14:textId="77777777" w:rsidTr="00EF055A">
        <w:tc>
          <w:tcPr>
            <w:tcW w:w="5948" w:type="dxa"/>
          </w:tcPr>
          <w:p w14:paraId="0E9C68D7" w14:textId="77777777" w:rsidR="00EF055A" w:rsidRPr="0048049C" w:rsidRDefault="00EF055A" w:rsidP="00EF055A">
            <w:pPr>
              <w:autoSpaceDE w:val="0"/>
              <w:autoSpaceDN w:val="0"/>
              <w:adjustRightInd w:val="0"/>
              <w:spacing w:after="120"/>
              <w:jc w:val="both"/>
              <w:rPr>
                <w:rFonts w:eastAsia="Calibri" w:cs="Arial"/>
                <w:color w:val="000000"/>
                <w:szCs w:val="24"/>
              </w:rPr>
            </w:pPr>
            <w:r w:rsidRPr="0048049C">
              <w:rPr>
                <w:rFonts w:eastAsia="Calibri" w:cs="Arial"/>
                <w:color w:val="000000"/>
                <w:szCs w:val="24"/>
              </w:rPr>
              <w:t>Pay (1%)</w:t>
            </w:r>
          </w:p>
        </w:tc>
        <w:tc>
          <w:tcPr>
            <w:tcW w:w="3068" w:type="dxa"/>
          </w:tcPr>
          <w:p w14:paraId="216EAA71" w14:textId="77777777" w:rsidR="00EF055A" w:rsidRPr="0048049C" w:rsidRDefault="00EF055A" w:rsidP="00EF055A">
            <w:pPr>
              <w:autoSpaceDE w:val="0"/>
              <w:autoSpaceDN w:val="0"/>
              <w:adjustRightInd w:val="0"/>
              <w:spacing w:after="120"/>
              <w:jc w:val="right"/>
              <w:rPr>
                <w:rFonts w:eastAsia="Calibri" w:cs="Arial"/>
                <w:color w:val="000000"/>
                <w:szCs w:val="24"/>
              </w:rPr>
            </w:pPr>
            <w:r w:rsidRPr="0048049C">
              <w:rPr>
                <w:rFonts w:eastAsia="Calibri" w:cs="Arial"/>
                <w:color w:val="000000"/>
                <w:szCs w:val="24"/>
              </w:rPr>
              <w:t>+/- 2.758</w:t>
            </w:r>
          </w:p>
        </w:tc>
      </w:tr>
      <w:tr w:rsidR="009C2438" w14:paraId="026F3B54" w14:textId="77777777" w:rsidTr="00EF055A">
        <w:tc>
          <w:tcPr>
            <w:tcW w:w="5948" w:type="dxa"/>
          </w:tcPr>
          <w:p w14:paraId="27F11734" w14:textId="77777777" w:rsidR="00EF055A" w:rsidRPr="0048049C" w:rsidRDefault="00EF055A" w:rsidP="00EF055A">
            <w:pPr>
              <w:autoSpaceDE w:val="0"/>
              <w:autoSpaceDN w:val="0"/>
              <w:adjustRightInd w:val="0"/>
              <w:spacing w:after="120"/>
              <w:jc w:val="both"/>
              <w:rPr>
                <w:rFonts w:eastAsia="Calibri" w:cs="Arial"/>
                <w:color w:val="000000"/>
                <w:szCs w:val="24"/>
              </w:rPr>
            </w:pPr>
            <w:r w:rsidRPr="0048049C">
              <w:rPr>
                <w:rFonts w:eastAsia="Calibri" w:cs="Arial"/>
                <w:color w:val="000000"/>
                <w:szCs w:val="24"/>
              </w:rPr>
              <w:t>Price Inflation (1%)</w:t>
            </w:r>
          </w:p>
        </w:tc>
        <w:tc>
          <w:tcPr>
            <w:tcW w:w="3068" w:type="dxa"/>
          </w:tcPr>
          <w:p w14:paraId="6713ECC5" w14:textId="77777777" w:rsidR="00EF055A" w:rsidRPr="0048049C" w:rsidRDefault="00EF055A" w:rsidP="00EF055A">
            <w:pPr>
              <w:autoSpaceDE w:val="0"/>
              <w:autoSpaceDN w:val="0"/>
              <w:adjustRightInd w:val="0"/>
              <w:spacing w:after="120"/>
              <w:jc w:val="right"/>
              <w:rPr>
                <w:rFonts w:eastAsia="Calibri" w:cs="Arial"/>
                <w:color w:val="000000"/>
                <w:szCs w:val="24"/>
              </w:rPr>
            </w:pPr>
            <w:r w:rsidRPr="0048049C">
              <w:rPr>
                <w:rFonts w:eastAsia="Calibri" w:cs="Arial"/>
                <w:color w:val="000000"/>
                <w:szCs w:val="24"/>
              </w:rPr>
              <w:t>+/- 4.974</w:t>
            </w:r>
          </w:p>
        </w:tc>
      </w:tr>
      <w:tr w:rsidR="009C2438" w14:paraId="23779202" w14:textId="77777777" w:rsidTr="00EF055A">
        <w:tc>
          <w:tcPr>
            <w:tcW w:w="5948" w:type="dxa"/>
          </w:tcPr>
          <w:p w14:paraId="0043BF5D" w14:textId="77777777" w:rsidR="00EF055A" w:rsidRPr="0048049C" w:rsidRDefault="00EF055A" w:rsidP="00EF055A">
            <w:pPr>
              <w:autoSpaceDE w:val="0"/>
              <w:autoSpaceDN w:val="0"/>
              <w:adjustRightInd w:val="0"/>
              <w:spacing w:after="120"/>
              <w:jc w:val="both"/>
              <w:rPr>
                <w:rFonts w:eastAsia="Calibri" w:cs="Arial"/>
                <w:color w:val="000000"/>
                <w:szCs w:val="24"/>
              </w:rPr>
            </w:pPr>
            <w:r w:rsidRPr="0048049C">
              <w:rPr>
                <w:rFonts w:eastAsia="Calibri" w:cs="Arial"/>
                <w:color w:val="000000"/>
                <w:szCs w:val="24"/>
              </w:rPr>
              <w:t>Demand (1%)</w:t>
            </w:r>
          </w:p>
        </w:tc>
        <w:tc>
          <w:tcPr>
            <w:tcW w:w="3068" w:type="dxa"/>
          </w:tcPr>
          <w:p w14:paraId="42110EF5" w14:textId="77777777" w:rsidR="00EF055A" w:rsidRPr="0048049C" w:rsidRDefault="00EF055A" w:rsidP="00EF055A">
            <w:pPr>
              <w:autoSpaceDE w:val="0"/>
              <w:autoSpaceDN w:val="0"/>
              <w:adjustRightInd w:val="0"/>
              <w:spacing w:after="120"/>
              <w:jc w:val="right"/>
              <w:rPr>
                <w:rFonts w:eastAsia="Calibri" w:cs="Arial"/>
                <w:color w:val="000000"/>
                <w:szCs w:val="24"/>
              </w:rPr>
            </w:pPr>
            <w:r w:rsidRPr="0048049C">
              <w:rPr>
                <w:rFonts w:eastAsia="Calibri" w:cs="Arial"/>
                <w:color w:val="000000"/>
                <w:szCs w:val="24"/>
              </w:rPr>
              <w:t>+/- 6.030</w:t>
            </w:r>
          </w:p>
        </w:tc>
      </w:tr>
    </w:tbl>
    <w:p w14:paraId="3D292B79" w14:textId="77777777" w:rsidR="00EF055A" w:rsidRDefault="00EF055A" w:rsidP="00EF055A">
      <w:pPr>
        <w:spacing w:after="0" w:line="259" w:lineRule="auto"/>
        <w:jc w:val="both"/>
      </w:pPr>
    </w:p>
    <w:p w14:paraId="6F758524" w14:textId="77777777" w:rsidR="00EF055A" w:rsidRPr="00567F44" w:rsidRDefault="00EF055A" w:rsidP="00EF055A">
      <w:pPr>
        <w:spacing w:after="160" w:line="259" w:lineRule="auto"/>
        <w:jc w:val="both"/>
      </w:pPr>
      <w:r w:rsidRPr="00567F44">
        <w:t>A number of specific risks remain within the budget as follows:</w:t>
      </w:r>
    </w:p>
    <w:p w14:paraId="0A819B29" w14:textId="77777777" w:rsidR="00EF055A" w:rsidRPr="00567F44" w:rsidRDefault="00EF055A" w:rsidP="00EF055A">
      <w:pPr>
        <w:numPr>
          <w:ilvl w:val="0"/>
          <w:numId w:val="16"/>
        </w:numPr>
        <w:spacing w:after="160" w:line="259" w:lineRule="auto"/>
        <w:jc w:val="both"/>
        <w:rPr>
          <w:b/>
        </w:rPr>
      </w:pPr>
      <w:r w:rsidRPr="00567F44">
        <w:t xml:space="preserve"> </w:t>
      </w:r>
      <w:r w:rsidRPr="00567F44">
        <w:rPr>
          <w:b/>
        </w:rPr>
        <w:t>Government Funding</w:t>
      </w:r>
    </w:p>
    <w:p w14:paraId="292A28B8" w14:textId="77777777" w:rsidR="00EF055A" w:rsidRPr="00567F44" w:rsidRDefault="00EF055A" w:rsidP="00EF055A">
      <w:pPr>
        <w:jc w:val="both"/>
      </w:pPr>
      <w:r w:rsidRPr="00567F44">
        <w:t xml:space="preserve">The funding included within this report reflects the provisional settlement for 2020/21 that was announced on 20th December 2019.  The announcement confirmed that there would be a one year settlement in 2020/21 and that the fair funding review would be delayed until April 2021. There are no funding levels confirmed post 2019/20. Assumptions have therefore been made based on the provisional finance settlement for funding levels from 2020/21 – 2023/24. </w:t>
      </w:r>
    </w:p>
    <w:p w14:paraId="5168F6DB" w14:textId="77777777" w:rsidR="00EF055A" w:rsidRPr="00567F44" w:rsidRDefault="00EF055A" w:rsidP="00EF055A">
      <w:pPr>
        <w:jc w:val="both"/>
      </w:pPr>
      <w:r w:rsidRPr="00567F44">
        <w:t xml:space="preserve">During 2020, a multi-year spending review will take place which will allow more time for the impact of funding changes to be effectively planned for. </w:t>
      </w:r>
    </w:p>
    <w:p w14:paraId="42D30B7F" w14:textId="77777777" w:rsidR="00EF055A" w:rsidRPr="00567F44" w:rsidRDefault="00EF055A" w:rsidP="00EF055A">
      <w:pPr>
        <w:jc w:val="both"/>
      </w:pPr>
      <w:r w:rsidRPr="00567F44">
        <w:t xml:space="preserve">The provisional settlement confirmed that 2020/21 would effectively be 'rolled over' from 2019/20, giving councils the stability they need to set a budget.    </w:t>
      </w:r>
    </w:p>
    <w:p w14:paraId="356CDC1B" w14:textId="77777777" w:rsidR="00EF055A" w:rsidRPr="00567F44" w:rsidRDefault="00EF055A" w:rsidP="00EF055A">
      <w:pPr>
        <w:jc w:val="both"/>
      </w:pPr>
      <w:r w:rsidRPr="00567F44">
        <w:t xml:space="preserve">In the provisional settlement, the Chancellor announced that councils will have access to new social care funding of £1.5bn in 2020/21.  This consists of grant funding and up to a 2% adult social care precept.  </w:t>
      </w:r>
    </w:p>
    <w:p w14:paraId="2C44D0E6" w14:textId="77777777" w:rsidR="00EF055A" w:rsidRPr="00567F44" w:rsidRDefault="00EF055A" w:rsidP="00EF055A">
      <w:pPr>
        <w:jc w:val="both"/>
      </w:pPr>
      <w:r w:rsidRPr="00567F44">
        <w:t>The provisional settlement also confirmed that revenue support grant would continue at 2019/20 inflated amounts, and that the social care funding allocated in 2019/20 would continue into 2020/21. It was also confirmed that the 2019/20 75% business rates pilots would not continue into 2020/21.</w:t>
      </w:r>
    </w:p>
    <w:p w14:paraId="670EE045" w14:textId="77777777" w:rsidR="00EF055A" w:rsidRPr="00567F44" w:rsidRDefault="00EF055A" w:rsidP="00EF055A">
      <w:pPr>
        <w:jc w:val="both"/>
      </w:pPr>
      <w:r w:rsidRPr="00567F44">
        <w:lastRenderedPageBreak/>
        <w:t>As a result of the uncertainty of future funding during Q2 we carried out some scenario analysis around possible funding profiles. In total 9 scenarios were modelled (this is not an exhaustive analysis of all funding options but consisted of the most obvious measures which could be taken) which resulted in forecast funding gaps between a surplus of £6m to a deficit of £85m. Following a review of these scenarios by the corporate management team, including the consideration of advice from external advisors, a core and most likely funding scenario on which to base the medium term financial strategy was agreed and this scenario remains the most appropriate for the MTFS.</w:t>
      </w:r>
    </w:p>
    <w:p w14:paraId="40BE934E" w14:textId="77777777" w:rsidR="00EF055A" w:rsidRPr="00567F44" w:rsidRDefault="00EF055A" w:rsidP="00EF055A">
      <w:pPr>
        <w:jc w:val="both"/>
      </w:pPr>
      <w:r w:rsidRPr="00567F44">
        <w:t>As a result of the above the assumptions around funding are that:</w:t>
      </w:r>
    </w:p>
    <w:p w14:paraId="6A25E1D0" w14:textId="77777777" w:rsidR="00EF055A" w:rsidRPr="00567F44" w:rsidRDefault="00EF055A" w:rsidP="000773FC">
      <w:pPr>
        <w:ind w:left="284" w:hanging="284"/>
        <w:jc w:val="both"/>
      </w:pPr>
      <w:r w:rsidRPr="00567F44">
        <w:t>•</w:t>
      </w:r>
      <w:r w:rsidRPr="00567F44">
        <w:tab/>
        <w:t>Revenue support grant or funding at the equivalent value through any new fair funding formula will be ongoing for the currency of this plan</w:t>
      </w:r>
    </w:p>
    <w:p w14:paraId="4A54D788" w14:textId="19FAE8E1" w:rsidR="00EF055A" w:rsidRPr="00567F44" w:rsidRDefault="00EF055A" w:rsidP="000773FC">
      <w:pPr>
        <w:ind w:left="284" w:hanging="284"/>
        <w:jc w:val="both"/>
      </w:pPr>
      <w:r w:rsidRPr="00567F44">
        <w:t>•</w:t>
      </w:r>
      <w:r w:rsidR="000773FC">
        <w:t xml:space="preserve">   </w:t>
      </w:r>
      <w:r w:rsidRPr="00567F44">
        <w:t>An adult social care precept of 2% will be levied in 2020/21 only</w:t>
      </w:r>
    </w:p>
    <w:p w14:paraId="33DD569F" w14:textId="66BC7805" w:rsidR="00EF055A" w:rsidRPr="00567F44" w:rsidRDefault="00EF055A" w:rsidP="000773FC">
      <w:pPr>
        <w:spacing w:after="160" w:line="259" w:lineRule="auto"/>
        <w:ind w:left="284" w:hanging="284"/>
        <w:jc w:val="both"/>
      </w:pPr>
      <w:r w:rsidRPr="00567F44">
        <w:t>•</w:t>
      </w:r>
      <w:r w:rsidR="000773FC">
        <w:t xml:space="preserve">   </w:t>
      </w:r>
      <w:r w:rsidRPr="00567F44">
        <w:t>The social care grant announced in the provisional settlement will continue for the length of the parliament which covers the MTFS period and beyond.</w:t>
      </w:r>
    </w:p>
    <w:p w14:paraId="4D50DFE9" w14:textId="77777777" w:rsidR="00EF055A" w:rsidRPr="00567F44" w:rsidRDefault="00EF055A" w:rsidP="00EF055A">
      <w:pPr>
        <w:spacing w:after="160" w:line="259" w:lineRule="auto"/>
        <w:jc w:val="both"/>
      </w:pPr>
      <w:r w:rsidRPr="00567F44">
        <w:t>At the time of writing the final settlement has yet to be confirmed. The settlement is likely to be published before parliament rises for half term and so this is expected in mid-February.</w:t>
      </w:r>
    </w:p>
    <w:p w14:paraId="32AAD8CB" w14:textId="77777777" w:rsidR="00EF055A" w:rsidRPr="00567F44" w:rsidRDefault="00EF055A" w:rsidP="00EF055A">
      <w:pPr>
        <w:numPr>
          <w:ilvl w:val="0"/>
          <w:numId w:val="16"/>
        </w:numPr>
        <w:spacing w:after="160" w:line="259" w:lineRule="auto"/>
        <w:jc w:val="both"/>
        <w:rPr>
          <w:b/>
        </w:rPr>
      </w:pPr>
      <w:r w:rsidRPr="00567F44">
        <w:rPr>
          <w:b/>
        </w:rPr>
        <w:t>Service Demand</w:t>
      </w:r>
    </w:p>
    <w:p w14:paraId="5F4BB3D8" w14:textId="77777777" w:rsidR="00EF055A" w:rsidRPr="00567F44" w:rsidRDefault="00EF055A" w:rsidP="00EF055A">
      <w:pPr>
        <w:spacing w:after="160" w:line="259" w:lineRule="auto"/>
        <w:jc w:val="both"/>
      </w:pPr>
      <w:r w:rsidRPr="00567F44">
        <w:t xml:space="preserve">This is a key risk facing the council in both preparing future budgets and managing budgets during the year. As reported in the budget monitoring reports presented to cabinet over the year, demand for both adult and children's social care services continue to see increases despite the impact of demand management measures and additional funds being built into the budget to reflect forecast pressures. </w:t>
      </w:r>
    </w:p>
    <w:p w14:paraId="763F45F9" w14:textId="77777777" w:rsidR="00EF055A" w:rsidRPr="00567F44" w:rsidRDefault="00EF055A" w:rsidP="00EF055A">
      <w:pPr>
        <w:spacing w:after="160" w:line="259" w:lineRule="auto"/>
        <w:jc w:val="both"/>
      </w:pPr>
      <w:r w:rsidRPr="00567F44">
        <w:t>Over the period 2020/21 to 2023/2</w:t>
      </w:r>
      <w:r>
        <w:t>4</w:t>
      </w:r>
      <w:r w:rsidRPr="00567F44">
        <w:t xml:space="preserve"> £63m has been provided in the MTFS for demand pressures of which £47.3m relates to adult social care and £11.7m children's social care. These have been identified based on current and historical trends and population projections where appropriate (particularly linked to the ageing population in respect of adult social care).  </w:t>
      </w:r>
    </w:p>
    <w:p w14:paraId="746C5FDC" w14:textId="77777777" w:rsidR="00EF055A" w:rsidRPr="00567F44" w:rsidRDefault="00EF055A" w:rsidP="00EF055A">
      <w:pPr>
        <w:spacing w:after="160" w:line="259" w:lineRule="auto"/>
        <w:jc w:val="both"/>
      </w:pPr>
      <w:r w:rsidRPr="00567F44">
        <w:t xml:space="preserve">Detailed work continues to be undertaken focused on a better understanding of the causes of increasing demand and what steps can be taken to mitigate the financial impact, which along with grant funding reductions, is a major contributing factor towards the funding gap reported in the MTFS.  </w:t>
      </w:r>
    </w:p>
    <w:p w14:paraId="7CA6653E" w14:textId="77777777" w:rsidR="00EF055A" w:rsidRPr="00567F44" w:rsidRDefault="00EF055A" w:rsidP="00EF055A">
      <w:pPr>
        <w:numPr>
          <w:ilvl w:val="0"/>
          <w:numId w:val="16"/>
        </w:numPr>
        <w:spacing w:after="160" w:line="259" w:lineRule="auto"/>
        <w:jc w:val="both"/>
        <w:rPr>
          <w:rFonts w:eastAsia="Calibri"/>
          <w:b/>
        </w:rPr>
      </w:pPr>
      <w:r w:rsidRPr="00567F44">
        <w:rPr>
          <w:rFonts w:eastAsia="Calibri"/>
          <w:b/>
        </w:rPr>
        <w:t xml:space="preserve">Pay </w:t>
      </w:r>
    </w:p>
    <w:p w14:paraId="1686F223" w14:textId="77777777" w:rsidR="00EF055A" w:rsidRPr="00567F44" w:rsidRDefault="00EF055A" w:rsidP="00EF055A">
      <w:pPr>
        <w:spacing w:after="160" w:line="259" w:lineRule="auto"/>
        <w:jc w:val="both"/>
      </w:pPr>
      <w:r w:rsidRPr="00567F44">
        <w:t>The majority of the pay bill is driven by the national pay agreement.  A 2% increase has been factored into the 2020/21 budget and subsequent years MTFS (2021/22, 2022/23 &amp; 2023/24). The county council also remains committed to paying its employees as an accredited member of the Living Wage Foundation</w:t>
      </w:r>
      <w:r>
        <w:t>,</w:t>
      </w:r>
      <w:r w:rsidRPr="00567F44">
        <w:t xml:space="preserve"> who have announced a 3.33% increase in the living wage. The impact of this initial increase and </w:t>
      </w:r>
      <w:r w:rsidRPr="00567F44">
        <w:lastRenderedPageBreak/>
        <w:t xml:space="preserve">further 2.90% (2021/22, 2022/23 &amp; 2023/24) increases in subsequent years for those staff directly impacted has been factored into the MTFS.     </w:t>
      </w:r>
    </w:p>
    <w:p w14:paraId="5203F0DF" w14:textId="77777777" w:rsidR="00EF055A" w:rsidRPr="00567F44" w:rsidRDefault="00EF055A" w:rsidP="00EF055A">
      <w:pPr>
        <w:numPr>
          <w:ilvl w:val="0"/>
          <w:numId w:val="16"/>
        </w:numPr>
        <w:spacing w:after="160" w:line="259" w:lineRule="auto"/>
        <w:jc w:val="both"/>
        <w:rPr>
          <w:b/>
        </w:rPr>
      </w:pPr>
      <w:r w:rsidRPr="00567F44">
        <w:rPr>
          <w:b/>
        </w:rPr>
        <w:t>Inflation</w:t>
      </w:r>
    </w:p>
    <w:p w14:paraId="7C3C71C6" w14:textId="77777777" w:rsidR="00EF055A" w:rsidRPr="00567F44" w:rsidRDefault="00EF055A" w:rsidP="00EF055A">
      <w:pPr>
        <w:spacing w:after="160" w:line="259" w:lineRule="auto"/>
        <w:jc w:val="both"/>
      </w:pPr>
      <w:r w:rsidRPr="00567F44">
        <w:t>The Monetary Policy Committee (MPC) of the Bank of England has been set an inflation target by the Government of 2% as measured by Consumer Prices Index (CPI). The CPI has been below this level since August 2019 decreasing further to 1.3% in December 2019. The Bank of England anticipate that inflation will be within target in the medium term.</w:t>
      </w:r>
    </w:p>
    <w:p w14:paraId="35E5C62C" w14:textId="77777777" w:rsidR="00EF055A" w:rsidRPr="00567F44" w:rsidRDefault="00EF055A" w:rsidP="00EF055A">
      <w:pPr>
        <w:spacing w:after="160" w:line="259" w:lineRule="auto"/>
        <w:jc w:val="both"/>
      </w:pPr>
      <w:r w:rsidRPr="00567F44">
        <w:t>Provision made within the budget is limited to areas where the council has no choice but to pay increased prices e.g. due to contractual terms. The inflation forecasts used in recent years are based on the future level of inflation implied by yields on interest linked gilts. Historically, this has tended to give a more accurate forecast than the methodology previously used. It is anticipated that the continued use of this methodology will reduce the risk of needing to make catch up additions to the budget for "missed" inflation or the need to absorb additional inflationary costs in year.</w:t>
      </w:r>
    </w:p>
    <w:p w14:paraId="4AF04898" w14:textId="77777777" w:rsidR="00EF055A" w:rsidRPr="00B71CD2" w:rsidRDefault="00EF055A" w:rsidP="00EF055A">
      <w:pPr>
        <w:spacing w:after="160" w:line="259" w:lineRule="auto"/>
        <w:jc w:val="both"/>
      </w:pPr>
      <w:r w:rsidRPr="00567F44">
        <w:t>A particularly significant area is the care market, primarily residential, nursing and homecare, the funding of which is recognised as a significant issue regionally and nationally.  A significant amount of resource has been included within the MTFS to fund price increases and the estimated impact of the national living wage on care providers.</w:t>
      </w:r>
      <w:r w:rsidRPr="00B71CD2">
        <w:rPr>
          <w:rFonts w:eastAsia="Calibri" w:cs="Arial"/>
          <w:color w:val="000000"/>
          <w:szCs w:val="24"/>
        </w:rPr>
        <w:t xml:space="preserve"> </w:t>
      </w:r>
      <w:r w:rsidRPr="00B71CD2">
        <w:t>Given the government's commitment to raise the national living wage to £10.50 by the end of this parliament should economic conditions permit, we will need to monitor the rate at which the national living wage grows and whether there is any additional funding to support this growth.</w:t>
      </w:r>
      <w:r>
        <w:t xml:space="preserve"> It is fair to say that we would anticipate additional funds would </w:t>
      </w:r>
      <w:r w:rsidR="000773FC">
        <w:t xml:space="preserve">need to </w:t>
      </w:r>
      <w:r>
        <w:t>be made available to meet these costs.</w:t>
      </w:r>
      <w:r w:rsidRPr="00B71CD2">
        <w:t xml:space="preserve"> Our current assumption is that we will see net growth of 3.06%</w:t>
      </w:r>
      <w:r>
        <w:t xml:space="preserve"> per annum in years 2021/22 onwards</w:t>
      </w:r>
      <w:r w:rsidRPr="00B71CD2">
        <w:t>.</w:t>
      </w:r>
      <w:r>
        <w:t xml:space="preserve"> This compares with the 6.1% increase announced in December 2019.</w:t>
      </w:r>
      <w:r w:rsidRPr="00B71CD2">
        <w:t xml:space="preserve"> Should the net impact of any future increase be greater than </w:t>
      </w:r>
      <w:r>
        <w:t xml:space="preserve">forecast </w:t>
      </w:r>
      <w:r w:rsidRPr="00B71CD2">
        <w:t>then there will be an increased pressure in the budget of c£2.200m for each additional 1%</w:t>
      </w:r>
      <w:proofErr w:type="gramStart"/>
      <w:r w:rsidRPr="00B71CD2">
        <w:t>.</w:t>
      </w:r>
      <w:proofErr w:type="gramEnd"/>
    </w:p>
    <w:p w14:paraId="7F1DDB69" w14:textId="77777777" w:rsidR="00EF055A" w:rsidRPr="00567F44" w:rsidRDefault="00EF055A" w:rsidP="00EF055A">
      <w:pPr>
        <w:numPr>
          <w:ilvl w:val="0"/>
          <w:numId w:val="16"/>
        </w:numPr>
        <w:spacing w:after="160" w:line="259" w:lineRule="auto"/>
        <w:jc w:val="both"/>
        <w:rPr>
          <w:b/>
        </w:rPr>
      </w:pPr>
      <w:r w:rsidRPr="00567F44">
        <w:rPr>
          <w:b/>
        </w:rPr>
        <w:t>Interest Rates</w:t>
      </w:r>
    </w:p>
    <w:p w14:paraId="37775670" w14:textId="77777777" w:rsidR="00EF055A" w:rsidRPr="00567F44" w:rsidRDefault="00EF055A" w:rsidP="00EF055A">
      <w:pPr>
        <w:spacing w:after="160" w:line="259" w:lineRule="auto"/>
        <w:jc w:val="both"/>
      </w:pPr>
      <w:r w:rsidRPr="00567F44">
        <w:t xml:space="preserve">The Bank of England base rate remains stable at the rate set in August 2018 of 0.75%. </w:t>
      </w:r>
    </w:p>
    <w:p w14:paraId="783BD3EF" w14:textId="77777777" w:rsidR="00EF055A" w:rsidRPr="00567F44" w:rsidRDefault="00EF055A" w:rsidP="00EF055A">
      <w:pPr>
        <w:spacing w:after="160" w:line="259" w:lineRule="auto"/>
        <w:jc w:val="both"/>
      </w:pPr>
      <w:r w:rsidRPr="00567F44">
        <w:t>The base rate continues to be at historically low levels and the Bank of England has maintained expectations for slow and steady rate rises in line with the performance of the economy. The county council's treasury advisors predict stable interest rates for the foreseeable future.</w:t>
      </w:r>
    </w:p>
    <w:p w14:paraId="2A3E8271" w14:textId="77777777" w:rsidR="00EF055A" w:rsidRPr="00567F44" w:rsidRDefault="00EF055A" w:rsidP="00EF055A">
      <w:pPr>
        <w:numPr>
          <w:ilvl w:val="0"/>
          <w:numId w:val="16"/>
        </w:numPr>
        <w:spacing w:after="160" w:line="259" w:lineRule="auto"/>
        <w:jc w:val="both"/>
        <w:rPr>
          <w:b/>
        </w:rPr>
      </w:pPr>
      <w:r w:rsidRPr="00567F44">
        <w:rPr>
          <w:b/>
        </w:rPr>
        <w:t>Savings Programme Delivery</w:t>
      </w:r>
    </w:p>
    <w:p w14:paraId="3B1F0464" w14:textId="77777777" w:rsidR="00EF055A" w:rsidRPr="00567F44" w:rsidRDefault="00EF055A" w:rsidP="00EF055A">
      <w:pPr>
        <w:spacing w:after="160" w:line="259" w:lineRule="auto"/>
        <w:jc w:val="both"/>
      </w:pPr>
      <w:r w:rsidRPr="00567F44">
        <w:t xml:space="preserve">The council is committed to the delivery of a significant savings programme (c£58m over the period 2020/21 to 2022/23). There are inherent risks with saving plans of this scale and scope and any significant under-delivery of agreed savings will further increase the funding gap.  This has been identified as one of the highest level risks in the council's Risk and Opportunity Register and there are comprehensive </w:t>
      </w:r>
      <w:r w:rsidRPr="00567F44">
        <w:lastRenderedPageBreak/>
        <w:t xml:space="preserve">arrangements in place to track delivery of financial savings and take corrective actions as required.  </w:t>
      </w:r>
    </w:p>
    <w:p w14:paraId="2FF833EA" w14:textId="77777777" w:rsidR="00EF055A" w:rsidRPr="00567F44" w:rsidRDefault="00EF055A" w:rsidP="00EF055A">
      <w:pPr>
        <w:spacing w:after="160" w:line="259" w:lineRule="auto"/>
        <w:jc w:val="both"/>
        <w:rPr>
          <w:b/>
        </w:rPr>
      </w:pPr>
      <w:r w:rsidRPr="00567F44">
        <w:rPr>
          <w:b/>
        </w:rPr>
        <w:t>Adequacy of Reserves</w:t>
      </w:r>
    </w:p>
    <w:p w14:paraId="5FEC6BB3" w14:textId="77777777" w:rsidR="00EF055A" w:rsidRPr="00567F44" w:rsidRDefault="00EF055A" w:rsidP="00EF055A">
      <w:pPr>
        <w:spacing w:after="160" w:line="259" w:lineRule="auto"/>
        <w:jc w:val="both"/>
      </w:pPr>
      <w:r w:rsidRPr="00567F44">
        <w:t>The council holds reserves for a number of reasons:</w:t>
      </w:r>
    </w:p>
    <w:p w14:paraId="0BECAE1D" w14:textId="77777777" w:rsidR="00EF055A" w:rsidRPr="00567F44" w:rsidRDefault="00EF055A" w:rsidP="00EF055A">
      <w:pPr>
        <w:numPr>
          <w:ilvl w:val="0"/>
          <w:numId w:val="17"/>
        </w:numPr>
        <w:spacing w:after="160" w:line="259" w:lineRule="auto"/>
        <w:jc w:val="both"/>
      </w:pPr>
      <w:r w:rsidRPr="00567F44">
        <w:t>to enable the council to deal with unexpected events such as flooding or the destruction of a major asset through fire,</w:t>
      </w:r>
    </w:p>
    <w:p w14:paraId="11E03A39" w14:textId="77777777" w:rsidR="00EF055A" w:rsidRPr="00567F44" w:rsidRDefault="00EF055A" w:rsidP="00EF055A">
      <w:pPr>
        <w:numPr>
          <w:ilvl w:val="0"/>
          <w:numId w:val="17"/>
        </w:numPr>
        <w:spacing w:after="160" w:line="259" w:lineRule="auto"/>
        <w:jc w:val="both"/>
      </w:pPr>
      <w:r w:rsidRPr="00567F44">
        <w:t>to enable the council to manage variations in the demand for services which cause in year budget pressures, and</w:t>
      </w:r>
    </w:p>
    <w:p w14:paraId="62264C36" w14:textId="77777777" w:rsidR="00EF055A" w:rsidRPr="00567F44" w:rsidRDefault="00EF055A" w:rsidP="00EF055A">
      <w:pPr>
        <w:numPr>
          <w:ilvl w:val="0"/>
          <w:numId w:val="17"/>
        </w:numPr>
        <w:spacing w:after="160" w:line="259" w:lineRule="auto"/>
        <w:jc w:val="both"/>
      </w:pPr>
      <w:proofErr w:type="gramStart"/>
      <w:r w:rsidRPr="00567F44">
        <w:t>to</w:t>
      </w:r>
      <w:proofErr w:type="gramEnd"/>
      <w:r w:rsidRPr="00567F44">
        <w:t xml:space="preserve"> fund specific projects or identified demands on the budget. </w:t>
      </w:r>
    </w:p>
    <w:p w14:paraId="72469399" w14:textId="77777777" w:rsidR="00EF055A" w:rsidRPr="00567F44" w:rsidRDefault="00EF055A" w:rsidP="00EF055A">
      <w:pPr>
        <w:spacing w:after="160" w:line="259" w:lineRule="auto"/>
        <w:jc w:val="both"/>
      </w:pPr>
      <w:r w:rsidRPr="00567F44">
        <w:t>There is no 'right' answer to the question of the appropriate level of reserves for a local authority; this is a matter of judgement taking into account:</w:t>
      </w:r>
    </w:p>
    <w:p w14:paraId="18994893" w14:textId="77777777" w:rsidR="00EF055A" w:rsidRPr="00567F44" w:rsidRDefault="00EF055A" w:rsidP="00EF055A">
      <w:pPr>
        <w:numPr>
          <w:ilvl w:val="0"/>
          <w:numId w:val="18"/>
        </w:numPr>
        <w:spacing w:after="160" w:line="259" w:lineRule="auto"/>
        <w:jc w:val="both"/>
      </w:pPr>
      <w:r w:rsidRPr="00567F44">
        <w:t>the level of risk evident within the budget as set out above,</w:t>
      </w:r>
    </w:p>
    <w:p w14:paraId="4B81E9C5" w14:textId="77777777" w:rsidR="00EF055A" w:rsidRPr="00567F44" w:rsidRDefault="00EF055A" w:rsidP="00EF055A">
      <w:pPr>
        <w:numPr>
          <w:ilvl w:val="0"/>
          <w:numId w:val="18"/>
        </w:numPr>
        <w:spacing w:after="160" w:line="259" w:lineRule="auto"/>
        <w:jc w:val="both"/>
      </w:pPr>
      <w:r w:rsidRPr="00567F44">
        <w:t>a judgement on the effectiveness of budgetary control within the organisation, and</w:t>
      </w:r>
    </w:p>
    <w:p w14:paraId="51F21783" w14:textId="77777777" w:rsidR="00EF055A" w:rsidRPr="00567F44" w:rsidRDefault="00EF055A" w:rsidP="00EF055A">
      <w:pPr>
        <w:numPr>
          <w:ilvl w:val="0"/>
          <w:numId w:val="18"/>
        </w:numPr>
        <w:spacing w:after="160" w:line="259" w:lineRule="auto"/>
        <w:jc w:val="both"/>
      </w:pPr>
      <w:proofErr w:type="gramStart"/>
      <w:r w:rsidRPr="00567F44">
        <w:t>the</w:t>
      </w:r>
      <w:proofErr w:type="gramEnd"/>
      <w:r w:rsidRPr="00567F44">
        <w:t xml:space="preserve"> degree to which funds have already been set aside for specific purposes which will reduce the need for general reserves.</w:t>
      </w:r>
    </w:p>
    <w:p w14:paraId="4F7CDA79" w14:textId="77777777" w:rsidR="00EF055A" w:rsidRPr="00567F44" w:rsidRDefault="00EF055A" w:rsidP="00EF055A">
      <w:pPr>
        <w:spacing w:after="160" w:line="259" w:lineRule="auto"/>
        <w:jc w:val="both"/>
      </w:pPr>
      <w:r w:rsidRPr="00567F44">
        <w:t>In relation to the council's general reserve (County Fund Balance), the forecast level at 31 March 2020 is £23.437m.  In addition the council continues to hold £10m as a formal treasury management reserve to reflect that, whilst the council's treasury management performance (covering both investment activity and financing costs) has been positive over an extended period, the outlook post-Brexit is particularly uncertain and volatile.  The reserve is there hedge against that volatility, including interest rate changes and associated risks over the short-term without directly impacting the revenue account.</w:t>
      </w:r>
    </w:p>
    <w:p w14:paraId="03D644A7" w14:textId="248632BF" w:rsidR="00EF055A" w:rsidRPr="00567F44" w:rsidRDefault="00EF055A" w:rsidP="00EF055A">
      <w:pPr>
        <w:spacing w:after="160" w:line="259" w:lineRule="auto"/>
        <w:jc w:val="both"/>
      </w:pPr>
      <w:r w:rsidRPr="00567F44">
        <w:t xml:space="preserve">The </w:t>
      </w:r>
      <w:r>
        <w:t xml:space="preserve">2019/20 </w:t>
      </w:r>
      <w:r w:rsidRPr="00567F44">
        <w:t xml:space="preserve">revenue budget has been </w:t>
      </w:r>
      <w:r>
        <w:t xml:space="preserve">supported by £10.245m of reserves. This is significantly improved position when compared with the 2017/18 &amp; 2018/19 financial years which were </w:t>
      </w:r>
      <w:r w:rsidRPr="00567F44">
        <w:t xml:space="preserve">supported </w:t>
      </w:r>
      <w:r>
        <w:t>by £57.106m and £47.619m respectively. With the 2020/21 budget set without recourse to reserves this is a much more positive outlook, although we recognise there remains a structural funding gap in the later years of our medium term financial strategy.</w:t>
      </w:r>
      <w:r w:rsidRPr="00567F44">
        <w:t xml:space="preserve"> The value of the council's uncommitted transitional reserve by the end of the financial year is currently forecast to be £144.659m, </w:t>
      </w:r>
      <w:r w:rsidR="009C4D4A">
        <w:t xml:space="preserve">although </w:t>
      </w:r>
      <w:r>
        <w:t xml:space="preserve">this is before </w:t>
      </w:r>
      <w:r w:rsidRPr="00567F44">
        <w:t xml:space="preserve">the effect of the 2019/20 </w:t>
      </w:r>
      <w:r w:rsidR="009C4D4A">
        <w:t xml:space="preserve">final </w:t>
      </w:r>
      <w:r w:rsidRPr="00567F44">
        <w:t xml:space="preserve">outturn position. </w:t>
      </w:r>
    </w:p>
    <w:p w14:paraId="4E147556" w14:textId="77777777" w:rsidR="00EF055A" w:rsidRPr="00567F44" w:rsidRDefault="00EF055A" w:rsidP="00EF055A">
      <w:pPr>
        <w:spacing w:after="160" w:line="259" w:lineRule="auto"/>
        <w:jc w:val="both"/>
      </w:pPr>
      <w:r w:rsidRPr="00567F44">
        <w:t xml:space="preserve">The level of risk evident within the budget has been significant in recent years and remains so. The council acknowledges that it needs to move to a sustainable financial position and also that this will take time to implement. The transitional reserve allows decisions to be made in a more measured and considered way but does not of itself negate the need for a sustainable budget to be achieved.  While the council's budgetary control procedures are strong in terms of managing in year expenditure, the effectiveness of budgetary control is a combination of systems and processes as well as the risk environment within which the council is operating. It therefore remains an </w:t>
      </w:r>
      <w:r w:rsidRPr="00567F44">
        <w:lastRenderedPageBreak/>
        <w:t xml:space="preserve">essential requirement that the council continues to ensure that processes are effective in </w:t>
      </w:r>
      <w:r>
        <w:t>managing</w:t>
      </w:r>
      <w:r w:rsidRPr="00567F44">
        <w:t xml:space="preserve"> in year expenditure and also that there is a clear focus on delivering a balanced and sustainable budget.</w:t>
      </w:r>
    </w:p>
    <w:p w14:paraId="01E646B4" w14:textId="42B5CCDF" w:rsidR="00EF055A" w:rsidRPr="00567F44" w:rsidRDefault="00EF055A" w:rsidP="00EF055A">
      <w:pPr>
        <w:spacing w:after="160" w:line="259" w:lineRule="auto"/>
        <w:jc w:val="both"/>
      </w:pPr>
      <w:r w:rsidRPr="00567F44">
        <w:t xml:space="preserve">As part of the preparation of the MTFS, scenario analysis and stress tests of the current financial gap and reserves position have been undertaken. Given the uncertainty surrounding government funding arrangements beyond 2020/21 a range of </w:t>
      </w:r>
      <w:r w:rsidR="009C4D4A">
        <w:t xml:space="preserve">potential </w:t>
      </w:r>
      <w:r w:rsidRPr="00567F44">
        <w:t xml:space="preserve">funding scenarios were </w:t>
      </w:r>
      <w:r w:rsidR="009C4D4A">
        <w:t>identified with t</w:t>
      </w:r>
      <w:r w:rsidRPr="00567F44">
        <w:t xml:space="preserve">he most likely </w:t>
      </w:r>
      <w:r w:rsidR="009C4D4A">
        <w:t xml:space="preserve">one </w:t>
      </w:r>
      <w:r w:rsidRPr="00567F44">
        <w:t xml:space="preserve">selected </w:t>
      </w:r>
      <w:proofErr w:type="gramStart"/>
      <w:r w:rsidR="009C4D4A">
        <w:t xml:space="preserve">utilising </w:t>
      </w:r>
      <w:r w:rsidRPr="00567F44">
        <w:t xml:space="preserve"> advice</w:t>
      </w:r>
      <w:proofErr w:type="gramEnd"/>
      <w:r w:rsidRPr="00567F44">
        <w:t xml:space="preserve"> from leading sector funding specialists. On the basis of the most likely funding scenario </w:t>
      </w:r>
      <w:r w:rsidR="009C4D4A">
        <w:t xml:space="preserve">which forms </w:t>
      </w:r>
      <w:r w:rsidRPr="00567F44">
        <w:t xml:space="preserve">the basis of the current MTFS there are </w:t>
      </w:r>
      <w:r w:rsidR="009C4D4A">
        <w:t xml:space="preserve">sufficient </w:t>
      </w:r>
      <w:r w:rsidRPr="00567F44">
        <w:t xml:space="preserve">reserves to support the budget for several years beyond the existing MTFS period. In the two most pessimistic and unlikely scenarios then there would be sufficient reserves to support the budget until part partway through 2023/24.  </w:t>
      </w:r>
    </w:p>
    <w:p w14:paraId="7A330E6D" w14:textId="77777777" w:rsidR="00EF055A" w:rsidRPr="0048049C" w:rsidRDefault="00EF055A" w:rsidP="00EF055A">
      <w:pPr>
        <w:spacing w:after="160" w:line="259" w:lineRule="auto"/>
        <w:jc w:val="both"/>
      </w:pPr>
      <w:r w:rsidRPr="00567F44">
        <w:t>Overall, the council has an appropriate level of reserves available to manage the financial risks it is facing from 2020/21 to 2023/24. However, despite the ongoing delivery of savings identified through the service challenge process of c£58m in the period between 2020/21 and 2022/23 it is necessary that additional savings are identified to be delivered to bring the council to a financially sustainable position. Any utilisation of remaining reserves should support, wherever possible, activities which reduce ongoing revenue costs.</w:t>
      </w:r>
      <w:r w:rsidRPr="0048049C">
        <w:t xml:space="preserve"> </w:t>
      </w:r>
    </w:p>
    <w:p w14:paraId="13BD5DCB" w14:textId="77777777" w:rsidR="00EF055A" w:rsidRPr="001E14CF" w:rsidRDefault="00EF055A" w:rsidP="00EF055A">
      <w:pPr>
        <w:spacing w:after="160" w:line="259" w:lineRule="auto"/>
        <w:jc w:val="both"/>
        <w:rPr>
          <w:b/>
        </w:rPr>
      </w:pPr>
      <w:r w:rsidRPr="0048049C">
        <w:rPr>
          <w:b/>
        </w:rPr>
        <w:t>Conclusion</w:t>
      </w:r>
    </w:p>
    <w:p w14:paraId="62C3F868" w14:textId="77777777" w:rsidR="009C4D4A" w:rsidRDefault="00EF055A" w:rsidP="00EF055A">
      <w:pPr>
        <w:spacing w:after="160" w:line="259" w:lineRule="auto"/>
        <w:jc w:val="both"/>
      </w:pPr>
      <w:r w:rsidRPr="0048049C">
        <w:t xml:space="preserve">There has been a significant focus nationally on the financial resilience of councils and one of the key areas of concern has been the utilisation of reserves in supporting budgets and the levels of reserves remaining.  A key indicator identified by Chartered Institute of Public Finance and Accountancy (CIPFA) in flagging up potential issues is the level of reserves used by a council to meet any funding shortfall in setting the budget compared to the average level of reserves used to fund any structural deficit over the previous 3 financial years.  </w:t>
      </w:r>
    </w:p>
    <w:p w14:paraId="131D8873" w14:textId="2BB75413" w:rsidR="00EF055A" w:rsidRPr="0048049C" w:rsidRDefault="00EF055A" w:rsidP="00EF055A">
      <w:pPr>
        <w:spacing w:after="160" w:line="259" w:lineRule="auto"/>
        <w:jc w:val="both"/>
      </w:pPr>
      <w:r w:rsidRPr="0048049C">
        <w:t>The average over the last 3 y</w:t>
      </w:r>
      <w:r>
        <w:t>ears in Lancashire has been c£38</w:t>
      </w:r>
      <w:r w:rsidRPr="0048049C">
        <w:t>m</w:t>
      </w:r>
      <w:r w:rsidR="009C4D4A">
        <w:t>, however this does not show the positive direction of travel as t</w:t>
      </w:r>
      <w:r>
        <w:t xml:space="preserve">he </w:t>
      </w:r>
      <w:r w:rsidR="009C4D4A">
        <w:t xml:space="preserve">requirement for reserves in setting the </w:t>
      </w:r>
      <w:r>
        <w:t xml:space="preserve">2019/20 budget </w:t>
      </w:r>
      <w:r w:rsidR="009C4D4A">
        <w:t xml:space="preserve">being much lower than the 3 year average at </w:t>
      </w:r>
      <w:r>
        <w:t>£10.245m</w:t>
      </w:r>
      <w:r w:rsidR="009C4D4A">
        <w:t>.  This</w:t>
      </w:r>
      <w:r w:rsidRPr="0048049C">
        <w:t xml:space="preserve"> a</w:t>
      </w:r>
      <w:r>
        <w:t xml:space="preserve">nd the proposed balanced budget for 2020/21 </w:t>
      </w:r>
      <w:r w:rsidRPr="007C491C">
        <w:t>without recourse</w:t>
      </w:r>
      <w:r>
        <w:t xml:space="preserve"> to reserves</w:t>
      </w:r>
      <w:r w:rsidRPr="0048049C">
        <w:t xml:space="preserve"> represents a significant improvement in this regard.  This follows strong financial control during the current financial year as evidenced by the forecast revenue underspend which w</w:t>
      </w:r>
      <w:r w:rsidR="009C4D4A">
        <w:t>ould</w:t>
      </w:r>
      <w:r w:rsidRPr="0048049C">
        <w:t xml:space="preserve"> enable a transfer into reserves</w:t>
      </w:r>
      <w:r>
        <w:t xml:space="preserve">.  </w:t>
      </w:r>
      <w:r w:rsidRPr="0048049C">
        <w:t xml:space="preserve">However, this is clearly dependent on all the agreed service challenge savings being agreed and delivered fully within the timeframes identified, along with the other savings agreed in previous budget cycles.  Should any of these budget options ultimately not be taken forward they will need to be replaced with alternative savings to avoid increasing the size of the financial gap.  </w:t>
      </w:r>
    </w:p>
    <w:p w14:paraId="6F084F02" w14:textId="77777777" w:rsidR="00EF055A" w:rsidRDefault="00EF055A" w:rsidP="00EF055A">
      <w:pPr>
        <w:jc w:val="both"/>
      </w:pPr>
    </w:p>
    <w:p w14:paraId="2CCBF883" w14:textId="77777777" w:rsidR="00EF055A" w:rsidRPr="007A60AF" w:rsidRDefault="00EF055A" w:rsidP="00EF055A">
      <w:pPr>
        <w:spacing w:after="0"/>
        <w:jc w:val="both"/>
        <w:rPr>
          <w:rFonts w:cs="Arial"/>
          <w:b/>
          <w:bCs/>
          <w:szCs w:val="24"/>
          <w:highlight w:val="yellow"/>
        </w:rPr>
      </w:pPr>
    </w:p>
    <w:p w14:paraId="28098BF0" w14:textId="77777777" w:rsidR="00EF055A" w:rsidRPr="007A60AF" w:rsidRDefault="00EF055A" w:rsidP="00EF055A">
      <w:pPr>
        <w:autoSpaceDE w:val="0"/>
        <w:autoSpaceDN w:val="0"/>
        <w:adjustRightInd w:val="0"/>
        <w:spacing w:after="0" w:line="240" w:lineRule="auto"/>
        <w:jc w:val="both"/>
        <w:rPr>
          <w:rFonts w:cs="Arial"/>
          <w:szCs w:val="24"/>
          <w:highlight w:val="yellow"/>
          <w:lang w:eastAsia="en-GB"/>
        </w:rPr>
      </w:pPr>
    </w:p>
    <w:p w14:paraId="114A4192" w14:textId="77777777" w:rsidR="00EF055A" w:rsidRPr="00AC2FA3" w:rsidRDefault="00EF055A" w:rsidP="00EF055A">
      <w:pPr>
        <w:spacing w:after="0"/>
        <w:jc w:val="both"/>
        <w:rPr>
          <w:rFonts w:cs="Arial"/>
          <w:b/>
          <w:bCs/>
          <w:szCs w:val="24"/>
        </w:rPr>
      </w:pPr>
    </w:p>
    <w:sectPr w:rsidR="00EF055A" w:rsidRPr="00AC2FA3" w:rsidSect="00EF05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CC073" w14:textId="77777777" w:rsidR="00745611" w:rsidRDefault="00745611">
      <w:pPr>
        <w:spacing w:after="0" w:line="240" w:lineRule="auto"/>
      </w:pPr>
      <w:r>
        <w:separator/>
      </w:r>
    </w:p>
  </w:endnote>
  <w:endnote w:type="continuationSeparator" w:id="0">
    <w:p w14:paraId="63C82995" w14:textId="77777777" w:rsidR="00745611" w:rsidRDefault="0074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678662"/>
      <w:docPartObj>
        <w:docPartGallery w:val="Page Numbers (Bottom of Page)"/>
        <w:docPartUnique/>
      </w:docPartObj>
    </w:sdtPr>
    <w:sdtEndPr>
      <w:rPr>
        <w:noProof/>
      </w:rPr>
    </w:sdtEndPr>
    <w:sdtContent>
      <w:p w14:paraId="313E0E38" w14:textId="21DD32E8" w:rsidR="00745611" w:rsidRDefault="00745611" w:rsidP="00382979">
        <w:pPr>
          <w:pStyle w:val="Footer"/>
          <w:jc w:val="right"/>
        </w:pPr>
        <w:r>
          <w:fldChar w:fldCharType="begin"/>
        </w:r>
        <w:r>
          <w:instrText xml:space="preserve"> PAGE   \* MERGEFORMAT </w:instrText>
        </w:r>
        <w:r>
          <w:fldChar w:fldCharType="separate"/>
        </w:r>
        <w:r w:rsidR="00382979">
          <w:rPr>
            <w:noProof/>
          </w:rPr>
          <w:t>19</w:t>
        </w:r>
        <w:r>
          <w:rPr>
            <w:noProof/>
          </w:rPr>
          <w:fldChar w:fldCharType="end"/>
        </w:r>
      </w:p>
    </w:sdtContent>
  </w:sdt>
  <w:p w14:paraId="34B447AC" w14:textId="77777777" w:rsidR="00745611" w:rsidRDefault="00745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16860" w14:textId="77777777" w:rsidR="00745611" w:rsidRDefault="00745611">
      <w:pPr>
        <w:spacing w:after="0" w:line="240" w:lineRule="auto"/>
      </w:pPr>
      <w:r>
        <w:separator/>
      </w:r>
    </w:p>
  </w:footnote>
  <w:footnote w:type="continuationSeparator" w:id="0">
    <w:p w14:paraId="6EC238E0" w14:textId="77777777" w:rsidR="00745611" w:rsidRDefault="00745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F21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27E11"/>
    <w:multiLevelType w:val="hybridMultilevel"/>
    <w:tmpl w:val="DF38FBC0"/>
    <w:lvl w:ilvl="0" w:tplc="F9502826">
      <w:start w:val="1"/>
      <w:numFmt w:val="bullet"/>
      <w:lvlText w:val=""/>
      <w:lvlJc w:val="left"/>
      <w:pPr>
        <w:ind w:left="720" w:hanging="360"/>
      </w:pPr>
      <w:rPr>
        <w:rFonts w:ascii="Symbol" w:hAnsi="Symbol" w:hint="default"/>
      </w:rPr>
    </w:lvl>
    <w:lvl w:ilvl="1" w:tplc="A2CE2F3C" w:tentative="1">
      <w:start w:val="1"/>
      <w:numFmt w:val="bullet"/>
      <w:lvlText w:val="o"/>
      <w:lvlJc w:val="left"/>
      <w:pPr>
        <w:ind w:left="1440" w:hanging="360"/>
      </w:pPr>
      <w:rPr>
        <w:rFonts w:ascii="Courier New" w:hAnsi="Courier New" w:cs="Courier New" w:hint="default"/>
      </w:rPr>
    </w:lvl>
    <w:lvl w:ilvl="2" w:tplc="84CC27EA" w:tentative="1">
      <w:start w:val="1"/>
      <w:numFmt w:val="bullet"/>
      <w:lvlText w:val=""/>
      <w:lvlJc w:val="left"/>
      <w:pPr>
        <w:ind w:left="2160" w:hanging="360"/>
      </w:pPr>
      <w:rPr>
        <w:rFonts w:ascii="Wingdings" w:hAnsi="Wingdings" w:hint="default"/>
      </w:rPr>
    </w:lvl>
    <w:lvl w:ilvl="3" w:tplc="8F30BB5E" w:tentative="1">
      <w:start w:val="1"/>
      <w:numFmt w:val="bullet"/>
      <w:lvlText w:val=""/>
      <w:lvlJc w:val="left"/>
      <w:pPr>
        <w:ind w:left="2880" w:hanging="360"/>
      </w:pPr>
      <w:rPr>
        <w:rFonts w:ascii="Symbol" w:hAnsi="Symbol" w:hint="default"/>
      </w:rPr>
    </w:lvl>
    <w:lvl w:ilvl="4" w:tplc="9D72A484" w:tentative="1">
      <w:start w:val="1"/>
      <w:numFmt w:val="bullet"/>
      <w:lvlText w:val="o"/>
      <w:lvlJc w:val="left"/>
      <w:pPr>
        <w:ind w:left="3600" w:hanging="360"/>
      </w:pPr>
      <w:rPr>
        <w:rFonts w:ascii="Courier New" w:hAnsi="Courier New" w:cs="Courier New" w:hint="default"/>
      </w:rPr>
    </w:lvl>
    <w:lvl w:ilvl="5" w:tplc="0748976E" w:tentative="1">
      <w:start w:val="1"/>
      <w:numFmt w:val="bullet"/>
      <w:lvlText w:val=""/>
      <w:lvlJc w:val="left"/>
      <w:pPr>
        <w:ind w:left="4320" w:hanging="360"/>
      </w:pPr>
      <w:rPr>
        <w:rFonts w:ascii="Wingdings" w:hAnsi="Wingdings" w:hint="default"/>
      </w:rPr>
    </w:lvl>
    <w:lvl w:ilvl="6" w:tplc="EF32F4EE" w:tentative="1">
      <w:start w:val="1"/>
      <w:numFmt w:val="bullet"/>
      <w:lvlText w:val=""/>
      <w:lvlJc w:val="left"/>
      <w:pPr>
        <w:ind w:left="5040" w:hanging="360"/>
      </w:pPr>
      <w:rPr>
        <w:rFonts w:ascii="Symbol" w:hAnsi="Symbol" w:hint="default"/>
      </w:rPr>
    </w:lvl>
    <w:lvl w:ilvl="7" w:tplc="DE367434" w:tentative="1">
      <w:start w:val="1"/>
      <w:numFmt w:val="bullet"/>
      <w:lvlText w:val="o"/>
      <w:lvlJc w:val="left"/>
      <w:pPr>
        <w:ind w:left="5760" w:hanging="360"/>
      </w:pPr>
      <w:rPr>
        <w:rFonts w:ascii="Courier New" w:hAnsi="Courier New" w:cs="Courier New" w:hint="default"/>
      </w:rPr>
    </w:lvl>
    <w:lvl w:ilvl="8" w:tplc="6C1261A4" w:tentative="1">
      <w:start w:val="1"/>
      <w:numFmt w:val="bullet"/>
      <w:lvlText w:val=""/>
      <w:lvlJc w:val="left"/>
      <w:pPr>
        <w:ind w:left="6480" w:hanging="360"/>
      </w:pPr>
      <w:rPr>
        <w:rFonts w:ascii="Wingdings" w:hAnsi="Wingdings" w:hint="default"/>
      </w:rPr>
    </w:lvl>
  </w:abstractNum>
  <w:abstractNum w:abstractNumId="2" w15:restartNumberingAfterBreak="0">
    <w:nsid w:val="06370B6D"/>
    <w:multiLevelType w:val="hybridMultilevel"/>
    <w:tmpl w:val="F2C886E4"/>
    <w:lvl w:ilvl="0" w:tplc="FF5E5B5E">
      <w:start w:val="1"/>
      <w:numFmt w:val="lowerLetter"/>
      <w:lvlText w:val="%1)"/>
      <w:lvlJc w:val="left"/>
      <w:pPr>
        <w:ind w:left="720" w:hanging="360"/>
      </w:pPr>
      <w:rPr>
        <w:rFonts w:hint="default"/>
      </w:rPr>
    </w:lvl>
    <w:lvl w:ilvl="1" w:tplc="BA6687F8" w:tentative="1">
      <w:start w:val="1"/>
      <w:numFmt w:val="lowerLetter"/>
      <w:lvlText w:val="%2."/>
      <w:lvlJc w:val="left"/>
      <w:pPr>
        <w:ind w:left="1440" w:hanging="360"/>
      </w:pPr>
    </w:lvl>
    <w:lvl w:ilvl="2" w:tplc="BB36AFDE" w:tentative="1">
      <w:start w:val="1"/>
      <w:numFmt w:val="lowerRoman"/>
      <w:lvlText w:val="%3."/>
      <w:lvlJc w:val="right"/>
      <w:pPr>
        <w:ind w:left="2160" w:hanging="180"/>
      </w:pPr>
    </w:lvl>
    <w:lvl w:ilvl="3" w:tplc="64520192" w:tentative="1">
      <w:start w:val="1"/>
      <w:numFmt w:val="decimal"/>
      <w:lvlText w:val="%4."/>
      <w:lvlJc w:val="left"/>
      <w:pPr>
        <w:ind w:left="2880" w:hanging="360"/>
      </w:pPr>
    </w:lvl>
    <w:lvl w:ilvl="4" w:tplc="8D8A7ECC" w:tentative="1">
      <w:start w:val="1"/>
      <w:numFmt w:val="lowerLetter"/>
      <w:lvlText w:val="%5."/>
      <w:lvlJc w:val="left"/>
      <w:pPr>
        <w:ind w:left="3600" w:hanging="360"/>
      </w:pPr>
    </w:lvl>
    <w:lvl w:ilvl="5" w:tplc="FE00054C" w:tentative="1">
      <w:start w:val="1"/>
      <w:numFmt w:val="lowerRoman"/>
      <w:lvlText w:val="%6."/>
      <w:lvlJc w:val="right"/>
      <w:pPr>
        <w:ind w:left="4320" w:hanging="180"/>
      </w:pPr>
    </w:lvl>
    <w:lvl w:ilvl="6" w:tplc="75084450" w:tentative="1">
      <w:start w:val="1"/>
      <w:numFmt w:val="decimal"/>
      <w:lvlText w:val="%7."/>
      <w:lvlJc w:val="left"/>
      <w:pPr>
        <w:ind w:left="5040" w:hanging="360"/>
      </w:pPr>
    </w:lvl>
    <w:lvl w:ilvl="7" w:tplc="3712F6D6" w:tentative="1">
      <w:start w:val="1"/>
      <w:numFmt w:val="lowerLetter"/>
      <w:lvlText w:val="%8."/>
      <w:lvlJc w:val="left"/>
      <w:pPr>
        <w:ind w:left="5760" w:hanging="360"/>
      </w:pPr>
    </w:lvl>
    <w:lvl w:ilvl="8" w:tplc="1EBE9E88" w:tentative="1">
      <w:start w:val="1"/>
      <w:numFmt w:val="lowerRoman"/>
      <w:lvlText w:val="%9."/>
      <w:lvlJc w:val="right"/>
      <w:pPr>
        <w:ind w:left="6480" w:hanging="180"/>
      </w:pPr>
    </w:lvl>
  </w:abstractNum>
  <w:abstractNum w:abstractNumId="3" w15:restartNumberingAfterBreak="0">
    <w:nsid w:val="0A563A20"/>
    <w:multiLevelType w:val="hybridMultilevel"/>
    <w:tmpl w:val="2724147E"/>
    <w:lvl w:ilvl="0" w:tplc="01789CB0">
      <w:start w:val="1"/>
      <w:numFmt w:val="bullet"/>
      <w:lvlText w:val=""/>
      <w:lvlJc w:val="left"/>
      <w:pPr>
        <w:ind w:left="720" w:hanging="360"/>
      </w:pPr>
      <w:rPr>
        <w:rFonts w:ascii="Symbol" w:hAnsi="Symbol" w:hint="default"/>
      </w:rPr>
    </w:lvl>
    <w:lvl w:ilvl="1" w:tplc="958E0FF4" w:tentative="1">
      <w:start w:val="1"/>
      <w:numFmt w:val="bullet"/>
      <w:lvlText w:val="o"/>
      <w:lvlJc w:val="left"/>
      <w:pPr>
        <w:ind w:left="1440" w:hanging="360"/>
      </w:pPr>
      <w:rPr>
        <w:rFonts w:ascii="Courier New" w:hAnsi="Courier New" w:cs="Courier New" w:hint="default"/>
      </w:rPr>
    </w:lvl>
    <w:lvl w:ilvl="2" w:tplc="7A8A99F8" w:tentative="1">
      <w:start w:val="1"/>
      <w:numFmt w:val="bullet"/>
      <w:lvlText w:val=""/>
      <w:lvlJc w:val="left"/>
      <w:pPr>
        <w:ind w:left="2160" w:hanging="360"/>
      </w:pPr>
      <w:rPr>
        <w:rFonts w:ascii="Wingdings" w:hAnsi="Wingdings" w:hint="default"/>
      </w:rPr>
    </w:lvl>
    <w:lvl w:ilvl="3" w:tplc="2BFA8190" w:tentative="1">
      <w:start w:val="1"/>
      <w:numFmt w:val="bullet"/>
      <w:lvlText w:val=""/>
      <w:lvlJc w:val="left"/>
      <w:pPr>
        <w:ind w:left="2880" w:hanging="360"/>
      </w:pPr>
      <w:rPr>
        <w:rFonts w:ascii="Symbol" w:hAnsi="Symbol" w:hint="default"/>
      </w:rPr>
    </w:lvl>
    <w:lvl w:ilvl="4" w:tplc="058AFD14" w:tentative="1">
      <w:start w:val="1"/>
      <w:numFmt w:val="bullet"/>
      <w:lvlText w:val="o"/>
      <w:lvlJc w:val="left"/>
      <w:pPr>
        <w:ind w:left="3600" w:hanging="360"/>
      </w:pPr>
      <w:rPr>
        <w:rFonts w:ascii="Courier New" w:hAnsi="Courier New" w:cs="Courier New" w:hint="default"/>
      </w:rPr>
    </w:lvl>
    <w:lvl w:ilvl="5" w:tplc="8DFEB6E6" w:tentative="1">
      <w:start w:val="1"/>
      <w:numFmt w:val="bullet"/>
      <w:lvlText w:val=""/>
      <w:lvlJc w:val="left"/>
      <w:pPr>
        <w:ind w:left="4320" w:hanging="360"/>
      </w:pPr>
      <w:rPr>
        <w:rFonts w:ascii="Wingdings" w:hAnsi="Wingdings" w:hint="default"/>
      </w:rPr>
    </w:lvl>
    <w:lvl w:ilvl="6" w:tplc="398E6B9A" w:tentative="1">
      <w:start w:val="1"/>
      <w:numFmt w:val="bullet"/>
      <w:lvlText w:val=""/>
      <w:lvlJc w:val="left"/>
      <w:pPr>
        <w:ind w:left="5040" w:hanging="360"/>
      </w:pPr>
      <w:rPr>
        <w:rFonts w:ascii="Symbol" w:hAnsi="Symbol" w:hint="default"/>
      </w:rPr>
    </w:lvl>
    <w:lvl w:ilvl="7" w:tplc="597C51CE" w:tentative="1">
      <w:start w:val="1"/>
      <w:numFmt w:val="bullet"/>
      <w:lvlText w:val="o"/>
      <w:lvlJc w:val="left"/>
      <w:pPr>
        <w:ind w:left="5760" w:hanging="360"/>
      </w:pPr>
      <w:rPr>
        <w:rFonts w:ascii="Courier New" w:hAnsi="Courier New" w:cs="Courier New" w:hint="default"/>
      </w:rPr>
    </w:lvl>
    <w:lvl w:ilvl="8" w:tplc="CACC8DC0" w:tentative="1">
      <w:start w:val="1"/>
      <w:numFmt w:val="bullet"/>
      <w:lvlText w:val=""/>
      <w:lvlJc w:val="left"/>
      <w:pPr>
        <w:ind w:left="6480" w:hanging="360"/>
      </w:pPr>
      <w:rPr>
        <w:rFonts w:ascii="Wingdings" w:hAnsi="Wingdings" w:hint="default"/>
      </w:rPr>
    </w:lvl>
  </w:abstractNum>
  <w:abstractNum w:abstractNumId="4" w15:restartNumberingAfterBreak="0">
    <w:nsid w:val="0F7D73D0"/>
    <w:multiLevelType w:val="hybridMultilevel"/>
    <w:tmpl w:val="914A5740"/>
    <w:lvl w:ilvl="0" w:tplc="AA60D292">
      <w:start w:val="1"/>
      <w:numFmt w:val="bullet"/>
      <w:lvlText w:val=""/>
      <w:lvlJc w:val="left"/>
      <w:pPr>
        <w:ind w:left="720" w:hanging="360"/>
      </w:pPr>
      <w:rPr>
        <w:rFonts w:ascii="Symbol" w:hAnsi="Symbol" w:hint="default"/>
      </w:rPr>
    </w:lvl>
    <w:lvl w:ilvl="1" w:tplc="AEAA4C16" w:tentative="1">
      <w:start w:val="1"/>
      <w:numFmt w:val="bullet"/>
      <w:lvlText w:val="o"/>
      <w:lvlJc w:val="left"/>
      <w:pPr>
        <w:ind w:left="1440" w:hanging="360"/>
      </w:pPr>
      <w:rPr>
        <w:rFonts w:ascii="Courier New" w:hAnsi="Courier New" w:cs="Courier New" w:hint="default"/>
      </w:rPr>
    </w:lvl>
    <w:lvl w:ilvl="2" w:tplc="621C5D1C" w:tentative="1">
      <w:start w:val="1"/>
      <w:numFmt w:val="bullet"/>
      <w:lvlText w:val=""/>
      <w:lvlJc w:val="left"/>
      <w:pPr>
        <w:ind w:left="2160" w:hanging="360"/>
      </w:pPr>
      <w:rPr>
        <w:rFonts w:ascii="Wingdings" w:hAnsi="Wingdings" w:hint="default"/>
      </w:rPr>
    </w:lvl>
    <w:lvl w:ilvl="3" w:tplc="5232DC36" w:tentative="1">
      <w:start w:val="1"/>
      <w:numFmt w:val="bullet"/>
      <w:lvlText w:val=""/>
      <w:lvlJc w:val="left"/>
      <w:pPr>
        <w:ind w:left="2880" w:hanging="360"/>
      </w:pPr>
      <w:rPr>
        <w:rFonts w:ascii="Symbol" w:hAnsi="Symbol" w:hint="default"/>
      </w:rPr>
    </w:lvl>
    <w:lvl w:ilvl="4" w:tplc="9BEC5A82" w:tentative="1">
      <w:start w:val="1"/>
      <w:numFmt w:val="bullet"/>
      <w:lvlText w:val="o"/>
      <w:lvlJc w:val="left"/>
      <w:pPr>
        <w:ind w:left="3600" w:hanging="360"/>
      </w:pPr>
      <w:rPr>
        <w:rFonts w:ascii="Courier New" w:hAnsi="Courier New" w:cs="Courier New" w:hint="default"/>
      </w:rPr>
    </w:lvl>
    <w:lvl w:ilvl="5" w:tplc="B2B2DBDE" w:tentative="1">
      <w:start w:val="1"/>
      <w:numFmt w:val="bullet"/>
      <w:lvlText w:val=""/>
      <w:lvlJc w:val="left"/>
      <w:pPr>
        <w:ind w:left="4320" w:hanging="360"/>
      </w:pPr>
      <w:rPr>
        <w:rFonts w:ascii="Wingdings" w:hAnsi="Wingdings" w:hint="default"/>
      </w:rPr>
    </w:lvl>
    <w:lvl w:ilvl="6" w:tplc="5BFC46D0" w:tentative="1">
      <w:start w:val="1"/>
      <w:numFmt w:val="bullet"/>
      <w:lvlText w:val=""/>
      <w:lvlJc w:val="left"/>
      <w:pPr>
        <w:ind w:left="5040" w:hanging="360"/>
      </w:pPr>
      <w:rPr>
        <w:rFonts w:ascii="Symbol" w:hAnsi="Symbol" w:hint="default"/>
      </w:rPr>
    </w:lvl>
    <w:lvl w:ilvl="7" w:tplc="0A2EC0C8" w:tentative="1">
      <w:start w:val="1"/>
      <w:numFmt w:val="bullet"/>
      <w:lvlText w:val="o"/>
      <w:lvlJc w:val="left"/>
      <w:pPr>
        <w:ind w:left="5760" w:hanging="360"/>
      </w:pPr>
      <w:rPr>
        <w:rFonts w:ascii="Courier New" w:hAnsi="Courier New" w:cs="Courier New" w:hint="default"/>
      </w:rPr>
    </w:lvl>
    <w:lvl w:ilvl="8" w:tplc="372603CC" w:tentative="1">
      <w:start w:val="1"/>
      <w:numFmt w:val="bullet"/>
      <w:lvlText w:val=""/>
      <w:lvlJc w:val="left"/>
      <w:pPr>
        <w:ind w:left="6480" w:hanging="360"/>
      </w:pPr>
      <w:rPr>
        <w:rFonts w:ascii="Wingdings" w:hAnsi="Wingdings" w:hint="default"/>
      </w:rPr>
    </w:lvl>
  </w:abstractNum>
  <w:abstractNum w:abstractNumId="5" w15:restartNumberingAfterBreak="0">
    <w:nsid w:val="125C7D02"/>
    <w:multiLevelType w:val="hybridMultilevel"/>
    <w:tmpl w:val="ED44D4A8"/>
    <w:lvl w:ilvl="0" w:tplc="E5F80DF0">
      <w:start w:val="1"/>
      <w:numFmt w:val="bullet"/>
      <w:lvlText w:val=""/>
      <w:lvlJc w:val="left"/>
      <w:pPr>
        <w:ind w:left="720" w:hanging="360"/>
      </w:pPr>
      <w:rPr>
        <w:rFonts w:ascii="Symbol" w:hAnsi="Symbol" w:hint="default"/>
      </w:rPr>
    </w:lvl>
    <w:lvl w:ilvl="1" w:tplc="3698F22A" w:tentative="1">
      <w:start w:val="1"/>
      <w:numFmt w:val="bullet"/>
      <w:lvlText w:val="o"/>
      <w:lvlJc w:val="left"/>
      <w:pPr>
        <w:ind w:left="1440" w:hanging="360"/>
      </w:pPr>
      <w:rPr>
        <w:rFonts w:ascii="Courier New" w:hAnsi="Courier New" w:hint="default"/>
      </w:rPr>
    </w:lvl>
    <w:lvl w:ilvl="2" w:tplc="EA30ED8C" w:tentative="1">
      <w:start w:val="1"/>
      <w:numFmt w:val="bullet"/>
      <w:lvlText w:val=""/>
      <w:lvlJc w:val="left"/>
      <w:pPr>
        <w:ind w:left="2160" w:hanging="360"/>
      </w:pPr>
      <w:rPr>
        <w:rFonts w:ascii="Wingdings" w:hAnsi="Wingdings" w:hint="default"/>
      </w:rPr>
    </w:lvl>
    <w:lvl w:ilvl="3" w:tplc="9D3CA43A" w:tentative="1">
      <w:start w:val="1"/>
      <w:numFmt w:val="bullet"/>
      <w:lvlText w:val=""/>
      <w:lvlJc w:val="left"/>
      <w:pPr>
        <w:ind w:left="2880" w:hanging="360"/>
      </w:pPr>
      <w:rPr>
        <w:rFonts w:ascii="Symbol" w:hAnsi="Symbol" w:hint="default"/>
      </w:rPr>
    </w:lvl>
    <w:lvl w:ilvl="4" w:tplc="D3BEBE2C" w:tentative="1">
      <w:start w:val="1"/>
      <w:numFmt w:val="bullet"/>
      <w:lvlText w:val="o"/>
      <w:lvlJc w:val="left"/>
      <w:pPr>
        <w:ind w:left="3600" w:hanging="360"/>
      </w:pPr>
      <w:rPr>
        <w:rFonts w:ascii="Courier New" w:hAnsi="Courier New" w:hint="default"/>
      </w:rPr>
    </w:lvl>
    <w:lvl w:ilvl="5" w:tplc="23BE8DA8" w:tentative="1">
      <w:start w:val="1"/>
      <w:numFmt w:val="bullet"/>
      <w:lvlText w:val=""/>
      <w:lvlJc w:val="left"/>
      <w:pPr>
        <w:ind w:left="4320" w:hanging="360"/>
      </w:pPr>
      <w:rPr>
        <w:rFonts w:ascii="Wingdings" w:hAnsi="Wingdings" w:hint="default"/>
      </w:rPr>
    </w:lvl>
    <w:lvl w:ilvl="6" w:tplc="CA2EDFD2" w:tentative="1">
      <w:start w:val="1"/>
      <w:numFmt w:val="bullet"/>
      <w:lvlText w:val=""/>
      <w:lvlJc w:val="left"/>
      <w:pPr>
        <w:ind w:left="5040" w:hanging="360"/>
      </w:pPr>
      <w:rPr>
        <w:rFonts w:ascii="Symbol" w:hAnsi="Symbol" w:hint="default"/>
      </w:rPr>
    </w:lvl>
    <w:lvl w:ilvl="7" w:tplc="10D65EF6" w:tentative="1">
      <w:start w:val="1"/>
      <w:numFmt w:val="bullet"/>
      <w:lvlText w:val="o"/>
      <w:lvlJc w:val="left"/>
      <w:pPr>
        <w:ind w:left="5760" w:hanging="360"/>
      </w:pPr>
      <w:rPr>
        <w:rFonts w:ascii="Courier New" w:hAnsi="Courier New" w:hint="default"/>
      </w:rPr>
    </w:lvl>
    <w:lvl w:ilvl="8" w:tplc="91FAC446" w:tentative="1">
      <w:start w:val="1"/>
      <w:numFmt w:val="bullet"/>
      <w:lvlText w:val=""/>
      <w:lvlJc w:val="left"/>
      <w:pPr>
        <w:ind w:left="6480" w:hanging="360"/>
      </w:pPr>
      <w:rPr>
        <w:rFonts w:ascii="Wingdings" w:hAnsi="Wingdings" w:hint="default"/>
      </w:rPr>
    </w:lvl>
  </w:abstractNum>
  <w:abstractNum w:abstractNumId="6" w15:restartNumberingAfterBreak="0">
    <w:nsid w:val="1BC45A8C"/>
    <w:multiLevelType w:val="hybridMultilevel"/>
    <w:tmpl w:val="EEAE10A4"/>
    <w:lvl w:ilvl="0" w:tplc="A9C201AE">
      <w:start w:val="1"/>
      <w:numFmt w:val="bullet"/>
      <w:lvlText w:val=""/>
      <w:lvlJc w:val="left"/>
      <w:pPr>
        <w:ind w:left="720" w:hanging="360"/>
      </w:pPr>
      <w:rPr>
        <w:rFonts w:ascii="Symbol" w:hAnsi="Symbol" w:hint="default"/>
      </w:rPr>
    </w:lvl>
    <w:lvl w:ilvl="1" w:tplc="D3E4547C" w:tentative="1">
      <w:start w:val="1"/>
      <w:numFmt w:val="bullet"/>
      <w:lvlText w:val="o"/>
      <w:lvlJc w:val="left"/>
      <w:pPr>
        <w:ind w:left="1440" w:hanging="360"/>
      </w:pPr>
      <w:rPr>
        <w:rFonts w:ascii="Courier New" w:hAnsi="Courier New" w:cs="Courier New" w:hint="default"/>
      </w:rPr>
    </w:lvl>
    <w:lvl w:ilvl="2" w:tplc="8D36BEFA" w:tentative="1">
      <w:start w:val="1"/>
      <w:numFmt w:val="bullet"/>
      <w:lvlText w:val=""/>
      <w:lvlJc w:val="left"/>
      <w:pPr>
        <w:ind w:left="2160" w:hanging="360"/>
      </w:pPr>
      <w:rPr>
        <w:rFonts w:ascii="Wingdings" w:hAnsi="Wingdings" w:hint="default"/>
      </w:rPr>
    </w:lvl>
    <w:lvl w:ilvl="3" w:tplc="02BE9350" w:tentative="1">
      <w:start w:val="1"/>
      <w:numFmt w:val="bullet"/>
      <w:lvlText w:val=""/>
      <w:lvlJc w:val="left"/>
      <w:pPr>
        <w:ind w:left="2880" w:hanging="360"/>
      </w:pPr>
      <w:rPr>
        <w:rFonts w:ascii="Symbol" w:hAnsi="Symbol" w:hint="default"/>
      </w:rPr>
    </w:lvl>
    <w:lvl w:ilvl="4" w:tplc="E0B62AF0" w:tentative="1">
      <w:start w:val="1"/>
      <w:numFmt w:val="bullet"/>
      <w:lvlText w:val="o"/>
      <w:lvlJc w:val="left"/>
      <w:pPr>
        <w:ind w:left="3600" w:hanging="360"/>
      </w:pPr>
      <w:rPr>
        <w:rFonts w:ascii="Courier New" w:hAnsi="Courier New" w:cs="Courier New" w:hint="default"/>
      </w:rPr>
    </w:lvl>
    <w:lvl w:ilvl="5" w:tplc="A1141B06" w:tentative="1">
      <w:start w:val="1"/>
      <w:numFmt w:val="bullet"/>
      <w:lvlText w:val=""/>
      <w:lvlJc w:val="left"/>
      <w:pPr>
        <w:ind w:left="4320" w:hanging="360"/>
      </w:pPr>
      <w:rPr>
        <w:rFonts w:ascii="Wingdings" w:hAnsi="Wingdings" w:hint="default"/>
      </w:rPr>
    </w:lvl>
    <w:lvl w:ilvl="6" w:tplc="374242C2" w:tentative="1">
      <w:start w:val="1"/>
      <w:numFmt w:val="bullet"/>
      <w:lvlText w:val=""/>
      <w:lvlJc w:val="left"/>
      <w:pPr>
        <w:ind w:left="5040" w:hanging="360"/>
      </w:pPr>
      <w:rPr>
        <w:rFonts w:ascii="Symbol" w:hAnsi="Symbol" w:hint="default"/>
      </w:rPr>
    </w:lvl>
    <w:lvl w:ilvl="7" w:tplc="6B4CACA8" w:tentative="1">
      <w:start w:val="1"/>
      <w:numFmt w:val="bullet"/>
      <w:lvlText w:val="o"/>
      <w:lvlJc w:val="left"/>
      <w:pPr>
        <w:ind w:left="5760" w:hanging="360"/>
      </w:pPr>
      <w:rPr>
        <w:rFonts w:ascii="Courier New" w:hAnsi="Courier New" w:cs="Courier New" w:hint="default"/>
      </w:rPr>
    </w:lvl>
    <w:lvl w:ilvl="8" w:tplc="568EDB06" w:tentative="1">
      <w:start w:val="1"/>
      <w:numFmt w:val="bullet"/>
      <w:lvlText w:val=""/>
      <w:lvlJc w:val="left"/>
      <w:pPr>
        <w:ind w:left="6480" w:hanging="360"/>
      </w:pPr>
      <w:rPr>
        <w:rFonts w:ascii="Wingdings" w:hAnsi="Wingdings" w:hint="default"/>
      </w:rPr>
    </w:lvl>
  </w:abstractNum>
  <w:abstractNum w:abstractNumId="7" w15:restartNumberingAfterBreak="0">
    <w:nsid w:val="23372B68"/>
    <w:multiLevelType w:val="hybridMultilevel"/>
    <w:tmpl w:val="401AB8EE"/>
    <w:lvl w:ilvl="0" w:tplc="86BE89D8">
      <w:start w:val="1"/>
      <w:numFmt w:val="bullet"/>
      <w:lvlText w:val=""/>
      <w:lvlJc w:val="left"/>
      <w:pPr>
        <w:ind w:left="720" w:hanging="360"/>
      </w:pPr>
      <w:rPr>
        <w:rFonts w:ascii="Symbol" w:hAnsi="Symbol" w:hint="default"/>
      </w:rPr>
    </w:lvl>
    <w:lvl w:ilvl="1" w:tplc="BC7EAA18" w:tentative="1">
      <w:start w:val="1"/>
      <w:numFmt w:val="bullet"/>
      <w:lvlText w:val="o"/>
      <w:lvlJc w:val="left"/>
      <w:pPr>
        <w:ind w:left="1440" w:hanging="360"/>
      </w:pPr>
      <w:rPr>
        <w:rFonts w:ascii="Courier New" w:hAnsi="Courier New" w:cs="Courier New" w:hint="default"/>
      </w:rPr>
    </w:lvl>
    <w:lvl w:ilvl="2" w:tplc="C8DC214E" w:tentative="1">
      <w:start w:val="1"/>
      <w:numFmt w:val="bullet"/>
      <w:lvlText w:val=""/>
      <w:lvlJc w:val="left"/>
      <w:pPr>
        <w:ind w:left="2160" w:hanging="360"/>
      </w:pPr>
      <w:rPr>
        <w:rFonts w:ascii="Wingdings" w:hAnsi="Wingdings" w:hint="default"/>
      </w:rPr>
    </w:lvl>
    <w:lvl w:ilvl="3" w:tplc="FEA83D8C" w:tentative="1">
      <w:start w:val="1"/>
      <w:numFmt w:val="bullet"/>
      <w:lvlText w:val=""/>
      <w:lvlJc w:val="left"/>
      <w:pPr>
        <w:ind w:left="2880" w:hanging="360"/>
      </w:pPr>
      <w:rPr>
        <w:rFonts w:ascii="Symbol" w:hAnsi="Symbol" w:hint="default"/>
      </w:rPr>
    </w:lvl>
    <w:lvl w:ilvl="4" w:tplc="8C52B1F4" w:tentative="1">
      <w:start w:val="1"/>
      <w:numFmt w:val="bullet"/>
      <w:lvlText w:val="o"/>
      <w:lvlJc w:val="left"/>
      <w:pPr>
        <w:ind w:left="3600" w:hanging="360"/>
      </w:pPr>
      <w:rPr>
        <w:rFonts w:ascii="Courier New" w:hAnsi="Courier New" w:cs="Courier New" w:hint="default"/>
      </w:rPr>
    </w:lvl>
    <w:lvl w:ilvl="5" w:tplc="7FFC554C" w:tentative="1">
      <w:start w:val="1"/>
      <w:numFmt w:val="bullet"/>
      <w:lvlText w:val=""/>
      <w:lvlJc w:val="left"/>
      <w:pPr>
        <w:ind w:left="4320" w:hanging="360"/>
      </w:pPr>
      <w:rPr>
        <w:rFonts w:ascii="Wingdings" w:hAnsi="Wingdings" w:hint="default"/>
      </w:rPr>
    </w:lvl>
    <w:lvl w:ilvl="6" w:tplc="C18A83D6" w:tentative="1">
      <w:start w:val="1"/>
      <w:numFmt w:val="bullet"/>
      <w:lvlText w:val=""/>
      <w:lvlJc w:val="left"/>
      <w:pPr>
        <w:ind w:left="5040" w:hanging="360"/>
      </w:pPr>
      <w:rPr>
        <w:rFonts w:ascii="Symbol" w:hAnsi="Symbol" w:hint="default"/>
      </w:rPr>
    </w:lvl>
    <w:lvl w:ilvl="7" w:tplc="1C52C9E6" w:tentative="1">
      <w:start w:val="1"/>
      <w:numFmt w:val="bullet"/>
      <w:lvlText w:val="o"/>
      <w:lvlJc w:val="left"/>
      <w:pPr>
        <w:ind w:left="5760" w:hanging="360"/>
      </w:pPr>
      <w:rPr>
        <w:rFonts w:ascii="Courier New" w:hAnsi="Courier New" w:cs="Courier New" w:hint="default"/>
      </w:rPr>
    </w:lvl>
    <w:lvl w:ilvl="8" w:tplc="F260D02E" w:tentative="1">
      <w:start w:val="1"/>
      <w:numFmt w:val="bullet"/>
      <w:lvlText w:val=""/>
      <w:lvlJc w:val="left"/>
      <w:pPr>
        <w:ind w:left="6480" w:hanging="360"/>
      </w:pPr>
      <w:rPr>
        <w:rFonts w:ascii="Wingdings" w:hAnsi="Wingdings" w:hint="default"/>
      </w:rPr>
    </w:lvl>
  </w:abstractNum>
  <w:abstractNum w:abstractNumId="8" w15:restartNumberingAfterBreak="0">
    <w:nsid w:val="374212FF"/>
    <w:multiLevelType w:val="hybridMultilevel"/>
    <w:tmpl w:val="F14E0318"/>
    <w:lvl w:ilvl="0" w:tplc="38B26780">
      <w:start w:val="1"/>
      <w:numFmt w:val="bullet"/>
      <w:lvlText w:val=""/>
      <w:lvlJc w:val="left"/>
      <w:pPr>
        <w:ind w:left="720" w:hanging="360"/>
      </w:pPr>
      <w:rPr>
        <w:rFonts w:ascii="Symbol" w:hAnsi="Symbol" w:hint="default"/>
      </w:rPr>
    </w:lvl>
    <w:lvl w:ilvl="1" w:tplc="34527ABE" w:tentative="1">
      <w:start w:val="1"/>
      <w:numFmt w:val="bullet"/>
      <w:lvlText w:val="o"/>
      <w:lvlJc w:val="left"/>
      <w:pPr>
        <w:ind w:left="1440" w:hanging="360"/>
      </w:pPr>
      <w:rPr>
        <w:rFonts w:ascii="Courier New" w:hAnsi="Courier New" w:cs="Courier New" w:hint="default"/>
      </w:rPr>
    </w:lvl>
    <w:lvl w:ilvl="2" w:tplc="5C940AE2" w:tentative="1">
      <w:start w:val="1"/>
      <w:numFmt w:val="bullet"/>
      <w:lvlText w:val=""/>
      <w:lvlJc w:val="left"/>
      <w:pPr>
        <w:ind w:left="2160" w:hanging="360"/>
      </w:pPr>
      <w:rPr>
        <w:rFonts w:ascii="Wingdings" w:hAnsi="Wingdings" w:hint="default"/>
      </w:rPr>
    </w:lvl>
    <w:lvl w:ilvl="3" w:tplc="C2667942" w:tentative="1">
      <w:start w:val="1"/>
      <w:numFmt w:val="bullet"/>
      <w:lvlText w:val=""/>
      <w:lvlJc w:val="left"/>
      <w:pPr>
        <w:ind w:left="2880" w:hanging="360"/>
      </w:pPr>
      <w:rPr>
        <w:rFonts w:ascii="Symbol" w:hAnsi="Symbol" w:hint="default"/>
      </w:rPr>
    </w:lvl>
    <w:lvl w:ilvl="4" w:tplc="3B603F4C" w:tentative="1">
      <w:start w:val="1"/>
      <w:numFmt w:val="bullet"/>
      <w:lvlText w:val="o"/>
      <w:lvlJc w:val="left"/>
      <w:pPr>
        <w:ind w:left="3600" w:hanging="360"/>
      </w:pPr>
      <w:rPr>
        <w:rFonts w:ascii="Courier New" w:hAnsi="Courier New" w:cs="Courier New" w:hint="default"/>
      </w:rPr>
    </w:lvl>
    <w:lvl w:ilvl="5" w:tplc="BDE80CBE" w:tentative="1">
      <w:start w:val="1"/>
      <w:numFmt w:val="bullet"/>
      <w:lvlText w:val=""/>
      <w:lvlJc w:val="left"/>
      <w:pPr>
        <w:ind w:left="4320" w:hanging="360"/>
      </w:pPr>
      <w:rPr>
        <w:rFonts w:ascii="Wingdings" w:hAnsi="Wingdings" w:hint="default"/>
      </w:rPr>
    </w:lvl>
    <w:lvl w:ilvl="6" w:tplc="2CA2B91A" w:tentative="1">
      <w:start w:val="1"/>
      <w:numFmt w:val="bullet"/>
      <w:lvlText w:val=""/>
      <w:lvlJc w:val="left"/>
      <w:pPr>
        <w:ind w:left="5040" w:hanging="360"/>
      </w:pPr>
      <w:rPr>
        <w:rFonts w:ascii="Symbol" w:hAnsi="Symbol" w:hint="default"/>
      </w:rPr>
    </w:lvl>
    <w:lvl w:ilvl="7" w:tplc="8A263D44" w:tentative="1">
      <w:start w:val="1"/>
      <w:numFmt w:val="bullet"/>
      <w:lvlText w:val="o"/>
      <w:lvlJc w:val="left"/>
      <w:pPr>
        <w:ind w:left="5760" w:hanging="360"/>
      </w:pPr>
      <w:rPr>
        <w:rFonts w:ascii="Courier New" w:hAnsi="Courier New" w:cs="Courier New" w:hint="default"/>
      </w:rPr>
    </w:lvl>
    <w:lvl w:ilvl="8" w:tplc="CEA08CF8" w:tentative="1">
      <w:start w:val="1"/>
      <w:numFmt w:val="bullet"/>
      <w:lvlText w:val=""/>
      <w:lvlJc w:val="left"/>
      <w:pPr>
        <w:ind w:left="6480" w:hanging="360"/>
      </w:pPr>
      <w:rPr>
        <w:rFonts w:ascii="Wingdings" w:hAnsi="Wingdings" w:hint="default"/>
      </w:rPr>
    </w:lvl>
  </w:abstractNum>
  <w:abstractNum w:abstractNumId="9" w15:restartNumberingAfterBreak="0">
    <w:nsid w:val="439A1AE7"/>
    <w:multiLevelType w:val="hybridMultilevel"/>
    <w:tmpl w:val="086C5B08"/>
    <w:lvl w:ilvl="0" w:tplc="CE4A9FB4">
      <w:start w:val="1"/>
      <w:numFmt w:val="bullet"/>
      <w:lvlText w:val=""/>
      <w:lvlJc w:val="left"/>
      <w:pPr>
        <w:ind w:left="720" w:hanging="360"/>
      </w:pPr>
      <w:rPr>
        <w:rFonts w:ascii="Symbol" w:hAnsi="Symbol" w:hint="default"/>
      </w:rPr>
    </w:lvl>
    <w:lvl w:ilvl="1" w:tplc="48E00CA8" w:tentative="1">
      <w:start w:val="1"/>
      <w:numFmt w:val="bullet"/>
      <w:lvlText w:val="o"/>
      <w:lvlJc w:val="left"/>
      <w:pPr>
        <w:ind w:left="1440" w:hanging="360"/>
      </w:pPr>
      <w:rPr>
        <w:rFonts w:ascii="Courier New" w:hAnsi="Courier New" w:cs="Courier New" w:hint="default"/>
      </w:rPr>
    </w:lvl>
    <w:lvl w:ilvl="2" w:tplc="F8C2AB4C" w:tentative="1">
      <w:start w:val="1"/>
      <w:numFmt w:val="bullet"/>
      <w:lvlText w:val=""/>
      <w:lvlJc w:val="left"/>
      <w:pPr>
        <w:ind w:left="2160" w:hanging="360"/>
      </w:pPr>
      <w:rPr>
        <w:rFonts w:ascii="Wingdings" w:hAnsi="Wingdings" w:hint="default"/>
      </w:rPr>
    </w:lvl>
    <w:lvl w:ilvl="3" w:tplc="FB1ACCFC" w:tentative="1">
      <w:start w:val="1"/>
      <w:numFmt w:val="bullet"/>
      <w:lvlText w:val=""/>
      <w:lvlJc w:val="left"/>
      <w:pPr>
        <w:ind w:left="2880" w:hanging="360"/>
      </w:pPr>
      <w:rPr>
        <w:rFonts w:ascii="Symbol" w:hAnsi="Symbol" w:hint="default"/>
      </w:rPr>
    </w:lvl>
    <w:lvl w:ilvl="4" w:tplc="95CACD6C" w:tentative="1">
      <w:start w:val="1"/>
      <w:numFmt w:val="bullet"/>
      <w:lvlText w:val="o"/>
      <w:lvlJc w:val="left"/>
      <w:pPr>
        <w:ind w:left="3600" w:hanging="360"/>
      </w:pPr>
      <w:rPr>
        <w:rFonts w:ascii="Courier New" w:hAnsi="Courier New" w:cs="Courier New" w:hint="default"/>
      </w:rPr>
    </w:lvl>
    <w:lvl w:ilvl="5" w:tplc="63923CA0" w:tentative="1">
      <w:start w:val="1"/>
      <w:numFmt w:val="bullet"/>
      <w:lvlText w:val=""/>
      <w:lvlJc w:val="left"/>
      <w:pPr>
        <w:ind w:left="4320" w:hanging="360"/>
      </w:pPr>
      <w:rPr>
        <w:rFonts w:ascii="Wingdings" w:hAnsi="Wingdings" w:hint="default"/>
      </w:rPr>
    </w:lvl>
    <w:lvl w:ilvl="6" w:tplc="57BEAA8C" w:tentative="1">
      <w:start w:val="1"/>
      <w:numFmt w:val="bullet"/>
      <w:lvlText w:val=""/>
      <w:lvlJc w:val="left"/>
      <w:pPr>
        <w:ind w:left="5040" w:hanging="360"/>
      </w:pPr>
      <w:rPr>
        <w:rFonts w:ascii="Symbol" w:hAnsi="Symbol" w:hint="default"/>
      </w:rPr>
    </w:lvl>
    <w:lvl w:ilvl="7" w:tplc="705CE3E4" w:tentative="1">
      <w:start w:val="1"/>
      <w:numFmt w:val="bullet"/>
      <w:lvlText w:val="o"/>
      <w:lvlJc w:val="left"/>
      <w:pPr>
        <w:ind w:left="5760" w:hanging="360"/>
      </w:pPr>
      <w:rPr>
        <w:rFonts w:ascii="Courier New" w:hAnsi="Courier New" w:cs="Courier New" w:hint="default"/>
      </w:rPr>
    </w:lvl>
    <w:lvl w:ilvl="8" w:tplc="5CF23E28" w:tentative="1">
      <w:start w:val="1"/>
      <w:numFmt w:val="bullet"/>
      <w:lvlText w:val=""/>
      <w:lvlJc w:val="left"/>
      <w:pPr>
        <w:ind w:left="6480" w:hanging="360"/>
      </w:pPr>
      <w:rPr>
        <w:rFonts w:ascii="Wingdings" w:hAnsi="Wingdings" w:hint="default"/>
      </w:rPr>
    </w:lvl>
  </w:abstractNum>
  <w:abstractNum w:abstractNumId="10" w15:restartNumberingAfterBreak="0">
    <w:nsid w:val="446A4AD3"/>
    <w:multiLevelType w:val="multilevel"/>
    <w:tmpl w:val="8F94A4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7511EB"/>
    <w:multiLevelType w:val="hybridMultilevel"/>
    <w:tmpl w:val="49DE1900"/>
    <w:lvl w:ilvl="0" w:tplc="B638F366">
      <w:start w:val="1"/>
      <w:numFmt w:val="bullet"/>
      <w:lvlText w:val=""/>
      <w:lvlJc w:val="left"/>
      <w:pPr>
        <w:ind w:left="1080" w:hanging="360"/>
      </w:pPr>
      <w:rPr>
        <w:rFonts w:ascii="Symbol" w:hAnsi="Symbol" w:hint="default"/>
      </w:rPr>
    </w:lvl>
    <w:lvl w:ilvl="1" w:tplc="52EC8AC2" w:tentative="1">
      <w:start w:val="1"/>
      <w:numFmt w:val="bullet"/>
      <w:lvlText w:val="o"/>
      <w:lvlJc w:val="left"/>
      <w:pPr>
        <w:ind w:left="1800" w:hanging="360"/>
      </w:pPr>
      <w:rPr>
        <w:rFonts w:ascii="Courier New" w:hAnsi="Courier New" w:cs="Courier New" w:hint="default"/>
      </w:rPr>
    </w:lvl>
    <w:lvl w:ilvl="2" w:tplc="A3AC7534" w:tentative="1">
      <w:start w:val="1"/>
      <w:numFmt w:val="bullet"/>
      <w:lvlText w:val=""/>
      <w:lvlJc w:val="left"/>
      <w:pPr>
        <w:ind w:left="2520" w:hanging="360"/>
      </w:pPr>
      <w:rPr>
        <w:rFonts w:ascii="Wingdings" w:hAnsi="Wingdings" w:hint="default"/>
      </w:rPr>
    </w:lvl>
    <w:lvl w:ilvl="3" w:tplc="DD1E7EBE" w:tentative="1">
      <w:start w:val="1"/>
      <w:numFmt w:val="bullet"/>
      <w:lvlText w:val=""/>
      <w:lvlJc w:val="left"/>
      <w:pPr>
        <w:ind w:left="3240" w:hanging="360"/>
      </w:pPr>
      <w:rPr>
        <w:rFonts w:ascii="Symbol" w:hAnsi="Symbol" w:hint="default"/>
      </w:rPr>
    </w:lvl>
    <w:lvl w:ilvl="4" w:tplc="C826083E" w:tentative="1">
      <w:start w:val="1"/>
      <w:numFmt w:val="bullet"/>
      <w:lvlText w:val="o"/>
      <w:lvlJc w:val="left"/>
      <w:pPr>
        <w:ind w:left="3960" w:hanging="360"/>
      </w:pPr>
      <w:rPr>
        <w:rFonts w:ascii="Courier New" w:hAnsi="Courier New" w:cs="Courier New" w:hint="default"/>
      </w:rPr>
    </w:lvl>
    <w:lvl w:ilvl="5" w:tplc="A26EF9E2" w:tentative="1">
      <w:start w:val="1"/>
      <w:numFmt w:val="bullet"/>
      <w:lvlText w:val=""/>
      <w:lvlJc w:val="left"/>
      <w:pPr>
        <w:ind w:left="4680" w:hanging="360"/>
      </w:pPr>
      <w:rPr>
        <w:rFonts w:ascii="Wingdings" w:hAnsi="Wingdings" w:hint="default"/>
      </w:rPr>
    </w:lvl>
    <w:lvl w:ilvl="6" w:tplc="E95298AE" w:tentative="1">
      <w:start w:val="1"/>
      <w:numFmt w:val="bullet"/>
      <w:lvlText w:val=""/>
      <w:lvlJc w:val="left"/>
      <w:pPr>
        <w:ind w:left="5400" w:hanging="360"/>
      </w:pPr>
      <w:rPr>
        <w:rFonts w:ascii="Symbol" w:hAnsi="Symbol" w:hint="default"/>
      </w:rPr>
    </w:lvl>
    <w:lvl w:ilvl="7" w:tplc="FB20C232" w:tentative="1">
      <w:start w:val="1"/>
      <w:numFmt w:val="bullet"/>
      <w:lvlText w:val="o"/>
      <w:lvlJc w:val="left"/>
      <w:pPr>
        <w:ind w:left="6120" w:hanging="360"/>
      </w:pPr>
      <w:rPr>
        <w:rFonts w:ascii="Courier New" w:hAnsi="Courier New" w:cs="Courier New" w:hint="default"/>
      </w:rPr>
    </w:lvl>
    <w:lvl w:ilvl="8" w:tplc="844CC8CC" w:tentative="1">
      <w:start w:val="1"/>
      <w:numFmt w:val="bullet"/>
      <w:lvlText w:val=""/>
      <w:lvlJc w:val="left"/>
      <w:pPr>
        <w:ind w:left="6840" w:hanging="360"/>
      </w:pPr>
      <w:rPr>
        <w:rFonts w:ascii="Wingdings" w:hAnsi="Wingdings" w:hint="default"/>
      </w:rPr>
    </w:lvl>
  </w:abstractNum>
  <w:abstractNum w:abstractNumId="12" w15:restartNumberingAfterBreak="0">
    <w:nsid w:val="49A040AE"/>
    <w:multiLevelType w:val="multilevel"/>
    <w:tmpl w:val="5E9E6036"/>
    <w:lvl w:ilvl="0">
      <w:start w:val="4"/>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19625A3"/>
    <w:multiLevelType w:val="hybridMultilevel"/>
    <w:tmpl w:val="B404A028"/>
    <w:lvl w:ilvl="0" w:tplc="A0F4349E">
      <w:start w:val="1"/>
      <w:numFmt w:val="decimal"/>
      <w:lvlText w:val="%1."/>
      <w:lvlJc w:val="left"/>
      <w:pPr>
        <w:ind w:left="786" w:hanging="360"/>
      </w:pPr>
      <w:rPr>
        <w:rFonts w:hint="default"/>
      </w:rPr>
    </w:lvl>
    <w:lvl w:ilvl="1" w:tplc="14B015E4" w:tentative="1">
      <w:start w:val="1"/>
      <w:numFmt w:val="lowerLetter"/>
      <w:lvlText w:val="%2."/>
      <w:lvlJc w:val="left"/>
      <w:pPr>
        <w:ind w:left="1440" w:hanging="360"/>
      </w:pPr>
    </w:lvl>
    <w:lvl w:ilvl="2" w:tplc="0FF22C1C" w:tentative="1">
      <w:start w:val="1"/>
      <w:numFmt w:val="lowerRoman"/>
      <w:lvlText w:val="%3."/>
      <w:lvlJc w:val="right"/>
      <w:pPr>
        <w:ind w:left="2160" w:hanging="180"/>
      </w:pPr>
    </w:lvl>
    <w:lvl w:ilvl="3" w:tplc="780E3FC4" w:tentative="1">
      <w:start w:val="1"/>
      <w:numFmt w:val="decimal"/>
      <w:lvlText w:val="%4."/>
      <w:lvlJc w:val="left"/>
      <w:pPr>
        <w:ind w:left="2880" w:hanging="360"/>
      </w:pPr>
    </w:lvl>
    <w:lvl w:ilvl="4" w:tplc="AA2CDF2E" w:tentative="1">
      <w:start w:val="1"/>
      <w:numFmt w:val="lowerLetter"/>
      <w:lvlText w:val="%5."/>
      <w:lvlJc w:val="left"/>
      <w:pPr>
        <w:ind w:left="3600" w:hanging="360"/>
      </w:pPr>
    </w:lvl>
    <w:lvl w:ilvl="5" w:tplc="A850930C" w:tentative="1">
      <w:start w:val="1"/>
      <w:numFmt w:val="lowerRoman"/>
      <w:lvlText w:val="%6."/>
      <w:lvlJc w:val="right"/>
      <w:pPr>
        <w:ind w:left="4320" w:hanging="180"/>
      </w:pPr>
    </w:lvl>
    <w:lvl w:ilvl="6" w:tplc="B1A8248A" w:tentative="1">
      <w:start w:val="1"/>
      <w:numFmt w:val="decimal"/>
      <w:lvlText w:val="%7."/>
      <w:lvlJc w:val="left"/>
      <w:pPr>
        <w:ind w:left="5040" w:hanging="360"/>
      </w:pPr>
    </w:lvl>
    <w:lvl w:ilvl="7" w:tplc="40D80660" w:tentative="1">
      <w:start w:val="1"/>
      <w:numFmt w:val="lowerLetter"/>
      <w:lvlText w:val="%8."/>
      <w:lvlJc w:val="left"/>
      <w:pPr>
        <w:ind w:left="5760" w:hanging="360"/>
      </w:pPr>
    </w:lvl>
    <w:lvl w:ilvl="8" w:tplc="FDF8DB60" w:tentative="1">
      <w:start w:val="1"/>
      <w:numFmt w:val="lowerRoman"/>
      <w:lvlText w:val="%9."/>
      <w:lvlJc w:val="right"/>
      <w:pPr>
        <w:ind w:left="6480" w:hanging="180"/>
      </w:pPr>
    </w:lvl>
  </w:abstractNum>
  <w:abstractNum w:abstractNumId="14" w15:restartNumberingAfterBreak="0">
    <w:nsid w:val="6786529E"/>
    <w:multiLevelType w:val="hybridMultilevel"/>
    <w:tmpl w:val="8F30C674"/>
    <w:lvl w:ilvl="0" w:tplc="19D2E174">
      <w:start w:val="1"/>
      <w:numFmt w:val="bullet"/>
      <w:lvlText w:val=""/>
      <w:lvlJc w:val="left"/>
      <w:pPr>
        <w:ind w:left="720" w:hanging="360"/>
      </w:pPr>
      <w:rPr>
        <w:rFonts w:ascii="Symbol" w:hAnsi="Symbol" w:hint="default"/>
      </w:rPr>
    </w:lvl>
    <w:lvl w:ilvl="1" w:tplc="B854DE72" w:tentative="1">
      <w:start w:val="1"/>
      <w:numFmt w:val="bullet"/>
      <w:lvlText w:val="o"/>
      <w:lvlJc w:val="left"/>
      <w:pPr>
        <w:ind w:left="1440" w:hanging="360"/>
      </w:pPr>
      <w:rPr>
        <w:rFonts w:ascii="Courier New" w:hAnsi="Courier New" w:cs="Courier New" w:hint="default"/>
      </w:rPr>
    </w:lvl>
    <w:lvl w:ilvl="2" w:tplc="48E4A23E" w:tentative="1">
      <w:start w:val="1"/>
      <w:numFmt w:val="bullet"/>
      <w:lvlText w:val=""/>
      <w:lvlJc w:val="left"/>
      <w:pPr>
        <w:ind w:left="2160" w:hanging="360"/>
      </w:pPr>
      <w:rPr>
        <w:rFonts w:ascii="Wingdings" w:hAnsi="Wingdings" w:hint="default"/>
      </w:rPr>
    </w:lvl>
    <w:lvl w:ilvl="3" w:tplc="8B84DFDE" w:tentative="1">
      <w:start w:val="1"/>
      <w:numFmt w:val="bullet"/>
      <w:lvlText w:val=""/>
      <w:lvlJc w:val="left"/>
      <w:pPr>
        <w:ind w:left="2880" w:hanging="360"/>
      </w:pPr>
      <w:rPr>
        <w:rFonts w:ascii="Symbol" w:hAnsi="Symbol" w:hint="default"/>
      </w:rPr>
    </w:lvl>
    <w:lvl w:ilvl="4" w:tplc="02F27F06" w:tentative="1">
      <w:start w:val="1"/>
      <w:numFmt w:val="bullet"/>
      <w:lvlText w:val="o"/>
      <w:lvlJc w:val="left"/>
      <w:pPr>
        <w:ind w:left="3600" w:hanging="360"/>
      </w:pPr>
      <w:rPr>
        <w:rFonts w:ascii="Courier New" w:hAnsi="Courier New" w:cs="Courier New" w:hint="default"/>
      </w:rPr>
    </w:lvl>
    <w:lvl w:ilvl="5" w:tplc="7D2225F4" w:tentative="1">
      <w:start w:val="1"/>
      <w:numFmt w:val="bullet"/>
      <w:lvlText w:val=""/>
      <w:lvlJc w:val="left"/>
      <w:pPr>
        <w:ind w:left="4320" w:hanging="360"/>
      </w:pPr>
      <w:rPr>
        <w:rFonts w:ascii="Wingdings" w:hAnsi="Wingdings" w:hint="default"/>
      </w:rPr>
    </w:lvl>
    <w:lvl w:ilvl="6" w:tplc="6526F7EC" w:tentative="1">
      <w:start w:val="1"/>
      <w:numFmt w:val="bullet"/>
      <w:lvlText w:val=""/>
      <w:lvlJc w:val="left"/>
      <w:pPr>
        <w:ind w:left="5040" w:hanging="360"/>
      </w:pPr>
      <w:rPr>
        <w:rFonts w:ascii="Symbol" w:hAnsi="Symbol" w:hint="default"/>
      </w:rPr>
    </w:lvl>
    <w:lvl w:ilvl="7" w:tplc="AE02F592" w:tentative="1">
      <w:start w:val="1"/>
      <w:numFmt w:val="bullet"/>
      <w:lvlText w:val="o"/>
      <w:lvlJc w:val="left"/>
      <w:pPr>
        <w:ind w:left="5760" w:hanging="360"/>
      </w:pPr>
      <w:rPr>
        <w:rFonts w:ascii="Courier New" w:hAnsi="Courier New" w:cs="Courier New" w:hint="default"/>
      </w:rPr>
    </w:lvl>
    <w:lvl w:ilvl="8" w:tplc="7208F79A" w:tentative="1">
      <w:start w:val="1"/>
      <w:numFmt w:val="bullet"/>
      <w:lvlText w:val=""/>
      <w:lvlJc w:val="left"/>
      <w:pPr>
        <w:ind w:left="6480" w:hanging="360"/>
      </w:pPr>
      <w:rPr>
        <w:rFonts w:ascii="Wingdings" w:hAnsi="Wingdings" w:hint="default"/>
      </w:rPr>
    </w:lvl>
  </w:abstractNum>
  <w:abstractNum w:abstractNumId="15" w15:restartNumberingAfterBreak="0">
    <w:nsid w:val="697C1795"/>
    <w:multiLevelType w:val="hybridMultilevel"/>
    <w:tmpl w:val="065660EC"/>
    <w:lvl w:ilvl="0" w:tplc="4FACD872">
      <w:start w:val="1"/>
      <w:numFmt w:val="lowerLetter"/>
      <w:lvlText w:val="%1)"/>
      <w:lvlJc w:val="left"/>
      <w:pPr>
        <w:ind w:left="360" w:hanging="360"/>
      </w:pPr>
      <w:rPr>
        <w:rFonts w:hint="default"/>
        <w:b/>
        <w:color w:val="auto"/>
      </w:rPr>
    </w:lvl>
    <w:lvl w:ilvl="1" w:tplc="3E80421C" w:tentative="1">
      <w:start w:val="1"/>
      <w:numFmt w:val="lowerLetter"/>
      <w:lvlText w:val="%2."/>
      <w:lvlJc w:val="left"/>
      <w:pPr>
        <w:ind w:left="1440" w:hanging="360"/>
      </w:pPr>
    </w:lvl>
    <w:lvl w:ilvl="2" w:tplc="A764384C" w:tentative="1">
      <w:start w:val="1"/>
      <w:numFmt w:val="lowerRoman"/>
      <w:lvlText w:val="%3."/>
      <w:lvlJc w:val="right"/>
      <w:pPr>
        <w:ind w:left="2160" w:hanging="180"/>
      </w:pPr>
    </w:lvl>
    <w:lvl w:ilvl="3" w:tplc="09BCE288" w:tentative="1">
      <w:start w:val="1"/>
      <w:numFmt w:val="decimal"/>
      <w:lvlText w:val="%4."/>
      <w:lvlJc w:val="left"/>
      <w:pPr>
        <w:ind w:left="2880" w:hanging="360"/>
      </w:pPr>
    </w:lvl>
    <w:lvl w:ilvl="4" w:tplc="0F4088E2" w:tentative="1">
      <w:start w:val="1"/>
      <w:numFmt w:val="lowerLetter"/>
      <w:lvlText w:val="%5."/>
      <w:lvlJc w:val="left"/>
      <w:pPr>
        <w:ind w:left="3600" w:hanging="360"/>
      </w:pPr>
    </w:lvl>
    <w:lvl w:ilvl="5" w:tplc="C0668720" w:tentative="1">
      <w:start w:val="1"/>
      <w:numFmt w:val="lowerRoman"/>
      <w:lvlText w:val="%6."/>
      <w:lvlJc w:val="right"/>
      <w:pPr>
        <w:ind w:left="4320" w:hanging="180"/>
      </w:pPr>
    </w:lvl>
    <w:lvl w:ilvl="6" w:tplc="7890B45A" w:tentative="1">
      <w:start w:val="1"/>
      <w:numFmt w:val="decimal"/>
      <w:lvlText w:val="%7."/>
      <w:lvlJc w:val="left"/>
      <w:pPr>
        <w:ind w:left="5040" w:hanging="360"/>
      </w:pPr>
    </w:lvl>
    <w:lvl w:ilvl="7" w:tplc="754087D2" w:tentative="1">
      <w:start w:val="1"/>
      <w:numFmt w:val="lowerLetter"/>
      <w:lvlText w:val="%8."/>
      <w:lvlJc w:val="left"/>
      <w:pPr>
        <w:ind w:left="5760" w:hanging="360"/>
      </w:pPr>
    </w:lvl>
    <w:lvl w:ilvl="8" w:tplc="12825CD0" w:tentative="1">
      <w:start w:val="1"/>
      <w:numFmt w:val="lowerRoman"/>
      <w:lvlText w:val="%9."/>
      <w:lvlJc w:val="right"/>
      <w:pPr>
        <w:ind w:left="6480" w:hanging="180"/>
      </w:pPr>
    </w:lvl>
  </w:abstractNum>
  <w:abstractNum w:abstractNumId="16" w15:restartNumberingAfterBreak="0">
    <w:nsid w:val="6F5909A4"/>
    <w:multiLevelType w:val="hybridMultilevel"/>
    <w:tmpl w:val="F670AD30"/>
    <w:lvl w:ilvl="0" w:tplc="0E286A04">
      <w:start w:val="1"/>
      <w:numFmt w:val="bullet"/>
      <w:lvlText w:val=""/>
      <w:lvlJc w:val="left"/>
      <w:pPr>
        <w:ind w:left="360" w:hanging="360"/>
      </w:pPr>
      <w:rPr>
        <w:rFonts w:ascii="Symbol" w:hAnsi="Symbol" w:hint="default"/>
      </w:rPr>
    </w:lvl>
    <w:lvl w:ilvl="1" w:tplc="9278A1AC" w:tentative="1">
      <w:start w:val="1"/>
      <w:numFmt w:val="bullet"/>
      <w:lvlText w:val="o"/>
      <w:lvlJc w:val="left"/>
      <w:pPr>
        <w:ind w:left="1440" w:hanging="360"/>
      </w:pPr>
      <w:rPr>
        <w:rFonts w:ascii="Courier New" w:hAnsi="Courier New" w:cs="Courier New" w:hint="default"/>
      </w:rPr>
    </w:lvl>
    <w:lvl w:ilvl="2" w:tplc="D1B48CC6" w:tentative="1">
      <w:start w:val="1"/>
      <w:numFmt w:val="bullet"/>
      <w:lvlText w:val=""/>
      <w:lvlJc w:val="left"/>
      <w:pPr>
        <w:ind w:left="2160" w:hanging="360"/>
      </w:pPr>
      <w:rPr>
        <w:rFonts w:ascii="Wingdings" w:hAnsi="Wingdings" w:hint="default"/>
      </w:rPr>
    </w:lvl>
    <w:lvl w:ilvl="3" w:tplc="2E18D838" w:tentative="1">
      <w:start w:val="1"/>
      <w:numFmt w:val="bullet"/>
      <w:lvlText w:val=""/>
      <w:lvlJc w:val="left"/>
      <w:pPr>
        <w:ind w:left="2880" w:hanging="360"/>
      </w:pPr>
      <w:rPr>
        <w:rFonts w:ascii="Symbol" w:hAnsi="Symbol" w:hint="default"/>
      </w:rPr>
    </w:lvl>
    <w:lvl w:ilvl="4" w:tplc="93B2B966" w:tentative="1">
      <w:start w:val="1"/>
      <w:numFmt w:val="bullet"/>
      <w:lvlText w:val="o"/>
      <w:lvlJc w:val="left"/>
      <w:pPr>
        <w:ind w:left="3600" w:hanging="360"/>
      </w:pPr>
      <w:rPr>
        <w:rFonts w:ascii="Courier New" w:hAnsi="Courier New" w:cs="Courier New" w:hint="default"/>
      </w:rPr>
    </w:lvl>
    <w:lvl w:ilvl="5" w:tplc="2FAC3CA2" w:tentative="1">
      <w:start w:val="1"/>
      <w:numFmt w:val="bullet"/>
      <w:lvlText w:val=""/>
      <w:lvlJc w:val="left"/>
      <w:pPr>
        <w:ind w:left="4320" w:hanging="360"/>
      </w:pPr>
      <w:rPr>
        <w:rFonts w:ascii="Wingdings" w:hAnsi="Wingdings" w:hint="default"/>
      </w:rPr>
    </w:lvl>
    <w:lvl w:ilvl="6" w:tplc="819A9A14" w:tentative="1">
      <w:start w:val="1"/>
      <w:numFmt w:val="bullet"/>
      <w:lvlText w:val=""/>
      <w:lvlJc w:val="left"/>
      <w:pPr>
        <w:ind w:left="5040" w:hanging="360"/>
      </w:pPr>
      <w:rPr>
        <w:rFonts w:ascii="Symbol" w:hAnsi="Symbol" w:hint="default"/>
      </w:rPr>
    </w:lvl>
    <w:lvl w:ilvl="7" w:tplc="5DB09F28" w:tentative="1">
      <w:start w:val="1"/>
      <w:numFmt w:val="bullet"/>
      <w:lvlText w:val="o"/>
      <w:lvlJc w:val="left"/>
      <w:pPr>
        <w:ind w:left="5760" w:hanging="360"/>
      </w:pPr>
      <w:rPr>
        <w:rFonts w:ascii="Courier New" w:hAnsi="Courier New" w:cs="Courier New" w:hint="default"/>
      </w:rPr>
    </w:lvl>
    <w:lvl w:ilvl="8" w:tplc="408462DA" w:tentative="1">
      <w:start w:val="1"/>
      <w:numFmt w:val="bullet"/>
      <w:lvlText w:val=""/>
      <w:lvlJc w:val="left"/>
      <w:pPr>
        <w:ind w:left="6480" w:hanging="360"/>
      </w:pPr>
      <w:rPr>
        <w:rFonts w:ascii="Wingdings" w:hAnsi="Wingdings" w:hint="default"/>
      </w:rPr>
    </w:lvl>
  </w:abstractNum>
  <w:abstractNum w:abstractNumId="17" w15:restartNumberingAfterBreak="0">
    <w:nsid w:val="747F0ADE"/>
    <w:multiLevelType w:val="hybridMultilevel"/>
    <w:tmpl w:val="160E8E48"/>
    <w:lvl w:ilvl="0" w:tplc="77B4C51A">
      <w:start w:val="1"/>
      <w:numFmt w:val="bullet"/>
      <w:lvlText w:val=""/>
      <w:lvlJc w:val="left"/>
      <w:pPr>
        <w:ind w:left="720" w:hanging="360"/>
      </w:pPr>
      <w:rPr>
        <w:rFonts w:ascii="Symbol" w:hAnsi="Symbol" w:hint="default"/>
      </w:rPr>
    </w:lvl>
    <w:lvl w:ilvl="1" w:tplc="22543962" w:tentative="1">
      <w:start w:val="1"/>
      <w:numFmt w:val="bullet"/>
      <w:lvlText w:val="o"/>
      <w:lvlJc w:val="left"/>
      <w:pPr>
        <w:ind w:left="1440" w:hanging="360"/>
      </w:pPr>
      <w:rPr>
        <w:rFonts w:ascii="Courier New" w:hAnsi="Courier New" w:cs="Courier New" w:hint="default"/>
      </w:rPr>
    </w:lvl>
    <w:lvl w:ilvl="2" w:tplc="C79AD918" w:tentative="1">
      <w:start w:val="1"/>
      <w:numFmt w:val="bullet"/>
      <w:lvlText w:val=""/>
      <w:lvlJc w:val="left"/>
      <w:pPr>
        <w:ind w:left="2160" w:hanging="360"/>
      </w:pPr>
      <w:rPr>
        <w:rFonts w:ascii="Wingdings" w:hAnsi="Wingdings" w:hint="default"/>
      </w:rPr>
    </w:lvl>
    <w:lvl w:ilvl="3" w:tplc="F35EF560" w:tentative="1">
      <w:start w:val="1"/>
      <w:numFmt w:val="bullet"/>
      <w:lvlText w:val=""/>
      <w:lvlJc w:val="left"/>
      <w:pPr>
        <w:ind w:left="2880" w:hanging="360"/>
      </w:pPr>
      <w:rPr>
        <w:rFonts w:ascii="Symbol" w:hAnsi="Symbol" w:hint="default"/>
      </w:rPr>
    </w:lvl>
    <w:lvl w:ilvl="4" w:tplc="FF586F3A" w:tentative="1">
      <w:start w:val="1"/>
      <w:numFmt w:val="bullet"/>
      <w:lvlText w:val="o"/>
      <w:lvlJc w:val="left"/>
      <w:pPr>
        <w:ind w:left="3600" w:hanging="360"/>
      </w:pPr>
      <w:rPr>
        <w:rFonts w:ascii="Courier New" w:hAnsi="Courier New" w:cs="Courier New" w:hint="default"/>
      </w:rPr>
    </w:lvl>
    <w:lvl w:ilvl="5" w:tplc="62829F04" w:tentative="1">
      <w:start w:val="1"/>
      <w:numFmt w:val="bullet"/>
      <w:lvlText w:val=""/>
      <w:lvlJc w:val="left"/>
      <w:pPr>
        <w:ind w:left="4320" w:hanging="360"/>
      </w:pPr>
      <w:rPr>
        <w:rFonts w:ascii="Wingdings" w:hAnsi="Wingdings" w:hint="default"/>
      </w:rPr>
    </w:lvl>
    <w:lvl w:ilvl="6" w:tplc="FF343832" w:tentative="1">
      <w:start w:val="1"/>
      <w:numFmt w:val="bullet"/>
      <w:lvlText w:val=""/>
      <w:lvlJc w:val="left"/>
      <w:pPr>
        <w:ind w:left="5040" w:hanging="360"/>
      </w:pPr>
      <w:rPr>
        <w:rFonts w:ascii="Symbol" w:hAnsi="Symbol" w:hint="default"/>
      </w:rPr>
    </w:lvl>
    <w:lvl w:ilvl="7" w:tplc="3B3846DA" w:tentative="1">
      <w:start w:val="1"/>
      <w:numFmt w:val="bullet"/>
      <w:lvlText w:val="o"/>
      <w:lvlJc w:val="left"/>
      <w:pPr>
        <w:ind w:left="5760" w:hanging="360"/>
      </w:pPr>
      <w:rPr>
        <w:rFonts w:ascii="Courier New" w:hAnsi="Courier New" w:cs="Courier New" w:hint="default"/>
      </w:rPr>
    </w:lvl>
    <w:lvl w:ilvl="8" w:tplc="75A0DB9A" w:tentative="1">
      <w:start w:val="1"/>
      <w:numFmt w:val="bullet"/>
      <w:lvlText w:val=""/>
      <w:lvlJc w:val="left"/>
      <w:pPr>
        <w:ind w:left="6480" w:hanging="360"/>
      </w:pPr>
      <w:rPr>
        <w:rFonts w:ascii="Wingdings" w:hAnsi="Wingdings" w:hint="default"/>
      </w:rPr>
    </w:lvl>
  </w:abstractNum>
  <w:abstractNum w:abstractNumId="18" w15:restartNumberingAfterBreak="0">
    <w:nsid w:val="79866A5B"/>
    <w:multiLevelType w:val="hybridMultilevel"/>
    <w:tmpl w:val="05EA4098"/>
    <w:lvl w:ilvl="0" w:tplc="C0A61652">
      <w:start w:val="1"/>
      <w:numFmt w:val="bullet"/>
      <w:lvlText w:val=""/>
      <w:lvlJc w:val="left"/>
      <w:pPr>
        <w:ind w:left="720" w:hanging="360"/>
      </w:pPr>
      <w:rPr>
        <w:rFonts w:ascii="Symbol" w:hAnsi="Symbol" w:hint="default"/>
      </w:rPr>
    </w:lvl>
    <w:lvl w:ilvl="1" w:tplc="AB2EAB10" w:tentative="1">
      <w:start w:val="1"/>
      <w:numFmt w:val="bullet"/>
      <w:lvlText w:val="o"/>
      <w:lvlJc w:val="left"/>
      <w:pPr>
        <w:ind w:left="1440" w:hanging="360"/>
      </w:pPr>
      <w:rPr>
        <w:rFonts w:ascii="Courier New" w:hAnsi="Courier New" w:cs="Courier New" w:hint="default"/>
      </w:rPr>
    </w:lvl>
    <w:lvl w:ilvl="2" w:tplc="22206FE6" w:tentative="1">
      <w:start w:val="1"/>
      <w:numFmt w:val="bullet"/>
      <w:lvlText w:val=""/>
      <w:lvlJc w:val="left"/>
      <w:pPr>
        <w:ind w:left="2160" w:hanging="360"/>
      </w:pPr>
      <w:rPr>
        <w:rFonts w:ascii="Wingdings" w:hAnsi="Wingdings" w:hint="default"/>
      </w:rPr>
    </w:lvl>
    <w:lvl w:ilvl="3" w:tplc="3348BD44" w:tentative="1">
      <w:start w:val="1"/>
      <w:numFmt w:val="bullet"/>
      <w:lvlText w:val=""/>
      <w:lvlJc w:val="left"/>
      <w:pPr>
        <w:ind w:left="2880" w:hanging="360"/>
      </w:pPr>
      <w:rPr>
        <w:rFonts w:ascii="Symbol" w:hAnsi="Symbol" w:hint="default"/>
      </w:rPr>
    </w:lvl>
    <w:lvl w:ilvl="4" w:tplc="755002B4" w:tentative="1">
      <w:start w:val="1"/>
      <w:numFmt w:val="bullet"/>
      <w:lvlText w:val="o"/>
      <w:lvlJc w:val="left"/>
      <w:pPr>
        <w:ind w:left="3600" w:hanging="360"/>
      </w:pPr>
      <w:rPr>
        <w:rFonts w:ascii="Courier New" w:hAnsi="Courier New" w:cs="Courier New" w:hint="default"/>
      </w:rPr>
    </w:lvl>
    <w:lvl w:ilvl="5" w:tplc="F23A2FF2" w:tentative="1">
      <w:start w:val="1"/>
      <w:numFmt w:val="bullet"/>
      <w:lvlText w:val=""/>
      <w:lvlJc w:val="left"/>
      <w:pPr>
        <w:ind w:left="4320" w:hanging="360"/>
      </w:pPr>
      <w:rPr>
        <w:rFonts w:ascii="Wingdings" w:hAnsi="Wingdings" w:hint="default"/>
      </w:rPr>
    </w:lvl>
    <w:lvl w:ilvl="6" w:tplc="C22E0138" w:tentative="1">
      <w:start w:val="1"/>
      <w:numFmt w:val="bullet"/>
      <w:lvlText w:val=""/>
      <w:lvlJc w:val="left"/>
      <w:pPr>
        <w:ind w:left="5040" w:hanging="360"/>
      </w:pPr>
      <w:rPr>
        <w:rFonts w:ascii="Symbol" w:hAnsi="Symbol" w:hint="default"/>
      </w:rPr>
    </w:lvl>
    <w:lvl w:ilvl="7" w:tplc="F970E94E" w:tentative="1">
      <w:start w:val="1"/>
      <w:numFmt w:val="bullet"/>
      <w:lvlText w:val="o"/>
      <w:lvlJc w:val="left"/>
      <w:pPr>
        <w:ind w:left="5760" w:hanging="360"/>
      </w:pPr>
      <w:rPr>
        <w:rFonts w:ascii="Courier New" w:hAnsi="Courier New" w:cs="Courier New" w:hint="default"/>
      </w:rPr>
    </w:lvl>
    <w:lvl w:ilvl="8" w:tplc="18A01CCC"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
  </w:num>
  <w:num w:numId="5">
    <w:abstractNumId w:val="7"/>
  </w:num>
  <w:num w:numId="6">
    <w:abstractNumId w:val="14"/>
  </w:num>
  <w:num w:numId="7">
    <w:abstractNumId w:val="8"/>
  </w:num>
  <w:num w:numId="8">
    <w:abstractNumId w:val="13"/>
  </w:num>
  <w:num w:numId="9">
    <w:abstractNumId w:val="4"/>
  </w:num>
  <w:num w:numId="10">
    <w:abstractNumId w:val="2"/>
  </w:num>
  <w:num w:numId="11">
    <w:abstractNumId w:val="17"/>
  </w:num>
  <w:num w:numId="12">
    <w:abstractNumId w:val="15"/>
  </w:num>
  <w:num w:numId="13">
    <w:abstractNumId w:val="9"/>
  </w:num>
  <w:num w:numId="14">
    <w:abstractNumId w:val="11"/>
  </w:num>
  <w:num w:numId="15">
    <w:abstractNumId w:val="18"/>
  </w:num>
  <w:num w:numId="16">
    <w:abstractNumId w:val="16"/>
  </w:num>
  <w:num w:numId="17">
    <w:abstractNumId w:val="3"/>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38"/>
    <w:rsid w:val="000773FC"/>
    <w:rsid w:val="00382979"/>
    <w:rsid w:val="00647FF8"/>
    <w:rsid w:val="00652051"/>
    <w:rsid w:val="00745611"/>
    <w:rsid w:val="007B7808"/>
    <w:rsid w:val="00917CE0"/>
    <w:rsid w:val="0095585E"/>
    <w:rsid w:val="009C2438"/>
    <w:rsid w:val="009C4D4A"/>
    <w:rsid w:val="00AE4CC2"/>
    <w:rsid w:val="00B225E8"/>
    <w:rsid w:val="00E950A4"/>
    <w:rsid w:val="00EF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ABC07"/>
  <w15:docId w15:val="{F232DF1E-E6F0-4B3D-96EC-FFFD23C0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79"/>
    <w:rPr>
      <w:rFonts w:ascii="Arial" w:hAnsi="Arial" w:cs="Times New Roman"/>
      <w:sz w:val="24"/>
    </w:rPr>
  </w:style>
  <w:style w:type="paragraph" w:styleId="Heading2">
    <w:name w:val="heading 2"/>
    <w:basedOn w:val="Normal"/>
    <w:next w:val="Normal"/>
    <w:link w:val="Heading2Char"/>
    <w:uiPriority w:val="9"/>
    <w:qFormat/>
    <w:rsid w:val="00FF5809"/>
    <w:pPr>
      <w:keepNext/>
      <w:spacing w:after="0" w:line="240" w:lineRule="auto"/>
      <w:outlineLvl w:val="1"/>
    </w:pPr>
    <w:rPr>
      <w:rFonts w:cs="Arial"/>
      <w:b/>
      <w:bCs/>
      <w:i/>
      <w:iCs/>
      <w:szCs w:val="24"/>
    </w:rPr>
  </w:style>
  <w:style w:type="paragraph" w:styleId="Heading3">
    <w:name w:val="heading 3"/>
    <w:basedOn w:val="Normal"/>
    <w:next w:val="Normal"/>
    <w:link w:val="Heading3Char"/>
    <w:uiPriority w:val="9"/>
    <w:qFormat/>
    <w:rsid w:val="00FF5809"/>
    <w:pPr>
      <w:keepNext/>
      <w:spacing w:after="0" w:line="240" w:lineRule="auto"/>
      <w:outlineLvl w:val="2"/>
    </w:pPr>
    <w:rPr>
      <w:rFonts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F5809"/>
    <w:rPr>
      <w:rFonts w:ascii="Arial" w:hAnsi="Arial" w:cs="Arial"/>
      <w:b/>
      <w:bCs/>
      <w:i/>
      <w:iCs/>
      <w:sz w:val="24"/>
      <w:szCs w:val="24"/>
    </w:rPr>
  </w:style>
  <w:style w:type="character" w:customStyle="1" w:styleId="Heading3Char">
    <w:name w:val="Heading 3 Char"/>
    <w:basedOn w:val="DefaultParagraphFont"/>
    <w:link w:val="Heading3"/>
    <w:uiPriority w:val="9"/>
    <w:locked/>
    <w:rsid w:val="00FF5809"/>
    <w:rPr>
      <w:rFonts w:ascii="Arial" w:hAnsi="Arial" w:cs="Arial"/>
      <w:i/>
      <w:iCs/>
      <w:sz w:val="24"/>
      <w:szCs w:val="24"/>
    </w:rPr>
  </w:style>
  <w:style w:type="paragraph" w:styleId="ListParagraph">
    <w:name w:val="List Paragraph"/>
    <w:basedOn w:val="Normal"/>
    <w:link w:val="ListParagraphChar"/>
    <w:uiPriority w:val="34"/>
    <w:qFormat/>
    <w:rsid w:val="00151A93"/>
    <w:pPr>
      <w:ind w:left="720"/>
      <w:contextualSpacing/>
    </w:pPr>
  </w:style>
  <w:style w:type="character" w:styleId="Hyperlink">
    <w:name w:val="Hyperlink"/>
    <w:basedOn w:val="DefaultParagraphFont"/>
    <w:uiPriority w:val="99"/>
    <w:unhideWhenUsed/>
    <w:rsid w:val="009E5B30"/>
    <w:rPr>
      <w:rFonts w:cs="Times New Roman"/>
      <w:color w:val="0000FF" w:themeColor="hyperlink"/>
      <w:u w:val="single"/>
    </w:rPr>
  </w:style>
  <w:style w:type="table" w:styleId="TableGrid">
    <w:name w:val="Table Grid"/>
    <w:basedOn w:val="TableNormal"/>
    <w:uiPriority w:val="59"/>
    <w:rsid w:val="00054F6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869"/>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1773D"/>
    <w:rPr>
      <w:rFonts w:cs="Times New Roman"/>
      <w:sz w:val="16"/>
      <w:szCs w:val="16"/>
    </w:rPr>
  </w:style>
  <w:style w:type="paragraph" w:styleId="CommentText">
    <w:name w:val="annotation text"/>
    <w:basedOn w:val="Normal"/>
    <w:link w:val="CommentTextChar"/>
    <w:uiPriority w:val="99"/>
    <w:semiHidden/>
    <w:unhideWhenUsed/>
    <w:rsid w:val="00D177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773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1773D"/>
    <w:rPr>
      <w:b/>
      <w:bCs/>
    </w:rPr>
  </w:style>
  <w:style w:type="character" w:customStyle="1" w:styleId="CommentSubjectChar">
    <w:name w:val="Comment Subject Char"/>
    <w:basedOn w:val="CommentTextChar"/>
    <w:link w:val="CommentSubject"/>
    <w:uiPriority w:val="99"/>
    <w:semiHidden/>
    <w:locked/>
    <w:rsid w:val="00D1773D"/>
    <w:rPr>
      <w:rFonts w:ascii="Arial" w:hAnsi="Arial" w:cs="Times New Roman"/>
      <w:b/>
      <w:bCs/>
      <w:sz w:val="20"/>
      <w:szCs w:val="20"/>
    </w:rPr>
  </w:style>
  <w:style w:type="paragraph" w:styleId="BalloonText">
    <w:name w:val="Balloon Text"/>
    <w:basedOn w:val="Normal"/>
    <w:link w:val="BalloonTextChar"/>
    <w:uiPriority w:val="99"/>
    <w:semiHidden/>
    <w:unhideWhenUsed/>
    <w:rsid w:val="00D1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73D"/>
    <w:rPr>
      <w:rFonts w:ascii="Tahoma" w:hAnsi="Tahoma" w:cs="Tahoma"/>
      <w:sz w:val="16"/>
      <w:szCs w:val="16"/>
    </w:rPr>
  </w:style>
  <w:style w:type="character" w:styleId="FollowedHyperlink">
    <w:name w:val="FollowedHyperlink"/>
    <w:basedOn w:val="DefaultParagraphFont"/>
    <w:uiPriority w:val="99"/>
    <w:semiHidden/>
    <w:unhideWhenUsed/>
    <w:rsid w:val="0097096D"/>
    <w:rPr>
      <w:rFonts w:cs="Times New Roman"/>
      <w:color w:val="800080" w:themeColor="followedHyperlink"/>
      <w:u w:val="single"/>
    </w:rPr>
  </w:style>
  <w:style w:type="table" w:customStyle="1" w:styleId="TableGrid1">
    <w:name w:val="Table Grid1"/>
    <w:basedOn w:val="TableNormal"/>
    <w:next w:val="TableGrid"/>
    <w:locked/>
    <w:rsid w:val="00032C20"/>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683216"/>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863D7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1A3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26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55353"/>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3A3DA2"/>
    <w:rPr>
      <w:rFonts w:ascii="Arial" w:hAnsi="Arial" w:cs="Times New Roman"/>
      <w:sz w:val="24"/>
    </w:rPr>
  </w:style>
  <w:style w:type="table" w:customStyle="1" w:styleId="TableGrid8">
    <w:name w:val="Table Grid8"/>
    <w:basedOn w:val="TableNormal"/>
    <w:next w:val="TableGrid"/>
    <w:uiPriority w:val="59"/>
    <w:rsid w:val="005E44D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ABB"/>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8661A"/>
    <w:pPr>
      <w:numPr>
        <w:numId w:val="3"/>
      </w:numPr>
      <w:contextualSpacing/>
    </w:pPr>
  </w:style>
  <w:style w:type="paragraph" w:styleId="Header">
    <w:name w:val="header"/>
    <w:basedOn w:val="Normal"/>
    <w:link w:val="HeaderChar"/>
    <w:uiPriority w:val="99"/>
    <w:unhideWhenUsed/>
    <w:rsid w:val="007A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AF"/>
    <w:rPr>
      <w:rFonts w:ascii="Arial" w:hAnsi="Arial" w:cs="Times New Roman"/>
      <w:sz w:val="24"/>
    </w:rPr>
  </w:style>
  <w:style w:type="paragraph" w:styleId="Footer">
    <w:name w:val="footer"/>
    <w:basedOn w:val="Normal"/>
    <w:link w:val="FooterChar"/>
    <w:uiPriority w:val="99"/>
    <w:unhideWhenUsed/>
    <w:rsid w:val="007A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AF"/>
    <w:rPr>
      <w:rFonts w:ascii="Arial" w:hAnsi="Arial" w:cs="Times New Roman"/>
      <w:sz w:val="24"/>
    </w:rPr>
  </w:style>
  <w:style w:type="table" w:customStyle="1" w:styleId="TableGrid10">
    <w:name w:val="Table Grid10"/>
    <w:basedOn w:val="TableNormal"/>
    <w:next w:val="TableGrid"/>
    <w:uiPriority w:val="3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352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862D8"/>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403"/>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1697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B20D6"/>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371E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B3701"/>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73506"/>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locked/>
    <w:rsid w:val="00AC2FA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Meetings.aspx?CommitteeId=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A449-C2A8-4A28-B575-689094FD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19</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Gorman, Dave</cp:lastModifiedBy>
  <cp:revision>80</cp:revision>
  <cp:lastPrinted>2020-02-05T08:26:00Z</cp:lastPrinted>
  <dcterms:created xsi:type="dcterms:W3CDTF">2019-02-04T14:27:00Z</dcterms:created>
  <dcterms:modified xsi:type="dcterms:W3CDTF">2020-02-05T13:49:00Z</dcterms:modified>
</cp:coreProperties>
</file>